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DF92" w14:textId="77777777" w:rsidR="00921D91" w:rsidRDefault="00921D91" w:rsidP="00B75256">
      <w:pPr>
        <w:pStyle w:val="Heading1"/>
      </w:pPr>
    </w:p>
    <w:p w14:paraId="33E2F62E" w14:textId="77777777" w:rsidR="00921D91" w:rsidRDefault="00921D91" w:rsidP="00B75256">
      <w:pPr>
        <w:pStyle w:val="Heading1"/>
      </w:pPr>
    </w:p>
    <w:p w14:paraId="485F8996" w14:textId="77777777" w:rsidR="002B59EF" w:rsidRPr="002B59EF" w:rsidRDefault="002B59EF" w:rsidP="002B59EF">
      <w:pPr>
        <w:rPr>
          <w:lang w:val="en-NZ"/>
        </w:rPr>
      </w:pPr>
    </w:p>
    <w:p w14:paraId="5E5787A5" w14:textId="250B00D4" w:rsidR="00DA6773" w:rsidRPr="00B75256" w:rsidRDefault="00921D91" w:rsidP="00B75256">
      <w:pPr>
        <w:pStyle w:val="Heading1"/>
        <w:jc w:val="center"/>
      </w:pPr>
      <w:r w:rsidRPr="00B75256">
        <w:t>LTspice Simulation Report</w:t>
      </w:r>
    </w:p>
    <w:p w14:paraId="1D9E0755" w14:textId="43DB440E" w:rsidR="00921D91" w:rsidRDefault="00921D91" w:rsidP="00B75256">
      <w:pPr>
        <w:pStyle w:val="Heading2"/>
        <w:jc w:val="center"/>
        <w:rPr>
          <w:lang w:val="en-NZ"/>
        </w:rPr>
      </w:pPr>
      <w:r>
        <w:rPr>
          <w:lang w:val="en-NZ"/>
        </w:rPr>
        <w:t>ENEL372 Sem 2 2025</w:t>
      </w:r>
    </w:p>
    <w:p w14:paraId="50B4B95C" w14:textId="77777777" w:rsidR="00921D91" w:rsidRDefault="00921D91" w:rsidP="00921D91">
      <w:pPr>
        <w:jc w:val="center"/>
        <w:rPr>
          <w:lang w:val="en-NZ"/>
        </w:rPr>
      </w:pPr>
    </w:p>
    <w:p w14:paraId="093D626C" w14:textId="77777777" w:rsidR="00B75256" w:rsidRDefault="00B75256" w:rsidP="00921D91">
      <w:pPr>
        <w:jc w:val="center"/>
        <w:rPr>
          <w:lang w:val="en-NZ"/>
        </w:rPr>
      </w:pPr>
    </w:p>
    <w:p w14:paraId="38B29C8C" w14:textId="76D1FCE4" w:rsidR="00921D91" w:rsidRDefault="00921D91" w:rsidP="00921D91">
      <w:pPr>
        <w:jc w:val="center"/>
        <w:rPr>
          <w:lang w:val="en-NZ"/>
        </w:rPr>
      </w:pPr>
      <w:r>
        <w:rPr>
          <w:lang w:val="en-NZ"/>
        </w:rPr>
        <w:t xml:space="preserve">Blake Tolmie – </w:t>
      </w:r>
      <w:r w:rsidR="00E23CB1">
        <w:rPr>
          <w:lang w:val="en-NZ"/>
        </w:rPr>
        <w:t>33078913</w:t>
      </w:r>
    </w:p>
    <w:p w14:paraId="6431FB40" w14:textId="07A12522" w:rsidR="00921D91" w:rsidRDefault="00921D91" w:rsidP="00921D91">
      <w:pPr>
        <w:jc w:val="center"/>
        <w:rPr>
          <w:lang w:val="en-NZ"/>
        </w:rPr>
      </w:pPr>
      <w:r w:rsidRPr="738A40C0">
        <w:rPr>
          <w:lang w:val="en-NZ"/>
        </w:rPr>
        <w:t>R</w:t>
      </w:r>
      <w:r w:rsidR="2357F472" w:rsidRPr="738A40C0">
        <w:rPr>
          <w:lang w:val="en-NZ"/>
        </w:rPr>
        <w:t>ylie O’Brien</w:t>
      </w:r>
      <w:r w:rsidRPr="738A40C0">
        <w:rPr>
          <w:lang w:val="en-NZ"/>
        </w:rPr>
        <w:t xml:space="preserve"> – </w:t>
      </w:r>
      <w:r w:rsidR="763674F1" w:rsidRPr="738A40C0">
        <w:rPr>
          <w:lang w:val="en-NZ"/>
        </w:rPr>
        <w:t>13658230</w:t>
      </w:r>
    </w:p>
    <w:p w14:paraId="774E96CD" w14:textId="72E71FE3" w:rsidR="00921D91" w:rsidRDefault="00921D91" w:rsidP="00921D91">
      <w:pPr>
        <w:jc w:val="center"/>
        <w:rPr>
          <w:lang w:val="en-NZ"/>
        </w:rPr>
      </w:pPr>
      <w:r>
        <w:rPr>
          <w:lang w:val="en-NZ"/>
        </w:rPr>
        <w:t xml:space="preserve">George Adams </w:t>
      </w:r>
      <w:r w:rsidR="00C1163C">
        <w:rPr>
          <w:lang w:val="en-NZ"/>
        </w:rPr>
        <w:t>–</w:t>
      </w:r>
      <w:r>
        <w:rPr>
          <w:lang w:val="en-NZ"/>
        </w:rPr>
        <w:t xml:space="preserve"> </w:t>
      </w:r>
      <w:r w:rsidR="00C1163C">
        <w:rPr>
          <w:lang w:val="en-NZ"/>
        </w:rPr>
        <w:t>67707407</w:t>
      </w:r>
    </w:p>
    <w:p w14:paraId="47E7BF8B" w14:textId="77777777" w:rsidR="002B59EF" w:rsidRDefault="002B59EF" w:rsidP="00921D91">
      <w:pPr>
        <w:jc w:val="center"/>
        <w:rPr>
          <w:lang w:val="en-NZ"/>
        </w:rPr>
      </w:pPr>
    </w:p>
    <w:p w14:paraId="022AD88D" w14:textId="77777777" w:rsidR="002B59EF" w:rsidRDefault="002B59EF" w:rsidP="00921D91">
      <w:pPr>
        <w:jc w:val="center"/>
        <w:rPr>
          <w:lang w:val="en-NZ"/>
        </w:rPr>
      </w:pPr>
    </w:p>
    <w:p w14:paraId="77CBEECC" w14:textId="77777777" w:rsidR="002B59EF" w:rsidRDefault="002B59EF" w:rsidP="00921D91">
      <w:pPr>
        <w:jc w:val="center"/>
        <w:rPr>
          <w:lang w:val="en-NZ"/>
        </w:rPr>
      </w:pPr>
    </w:p>
    <w:p w14:paraId="1D61E55E" w14:textId="77777777" w:rsidR="002B59EF" w:rsidRDefault="002B59EF" w:rsidP="00921D91">
      <w:pPr>
        <w:jc w:val="center"/>
        <w:rPr>
          <w:lang w:val="en-NZ"/>
        </w:rPr>
      </w:pPr>
    </w:p>
    <w:p w14:paraId="257A860F" w14:textId="77777777" w:rsidR="002B59EF" w:rsidRDefault="002B59EF" w:rsidP="00921D91">
      <w:pPr>
        <w:jc w:val="center"/>
        <w:rPr>
          <w:lang w:val="en-NZ"/>
        </w:rPr>
      </w:pPr>
    </w:p>
    <w:p w14:paraId="07A2281F" w14:textId="77777777" w:rsidR="002B59EF" w:rsidRDefault="002B59EF" w:rsidP="00921D91">
      <w:pPr>
        <w:jc w:val="center"/>
        <w:rPr>
          <w:lang w:val="en-NZ"/>
        </w:rPr>
      </w:pPr>
    </w:p>
    <w:p w14:paraId="11C41FCF" w14:textId="77777777" w:rsidR="002B59EF" w:rsidRDefault="002B59EF" w:rsidP="00921D91">
      <w:pPr>
        <w:jc w:val="center"/>
        <w:rPr>
          <w:lang w:val="en-NZ"/>
        </w:rPr>
      </w:pPr>
    </w:p>
    <w:p w14:paraId="578B1E42" w14:textId="77777777" w:rsidR="002B59EF" w:rsidRDefault="002B59EF" w:rsidP="00921D91">
      <w:pPr>
        <w:jc w:val="center"/>
        <w:rPr>
          <w:lang w:val="en-NZ"/>
        </w:rPr>
      </w:pPr>
    </w:p>
    <w:p w14:paraId="27A945E8" w14:textId="77777777" w:rsidR="002B59EF" w:rsidRDefault="002B59EF" w:rsidP="00921D91">
      <w:pPr>
        <w:jc w:val="center"/>
        <w:rPr>
          <w:lang w:val="en-NZ"/>
        </w:rPr>
      </w:pPr>
    </w:p>
    <w:p w14:paraId="2284D720" w14:textId="77777777" w:rsidR="002B59EF" w:rsidRDefault="002B59EF" w:rsidP="00921D91">
      <w:pPr>
        <w:jc w:val="center"/>
        <w:rPr>
          <w:lang w:val="en-NZ"/>
        </w:rPr>
      </w:pPr>
    </w:p>
    <w:p w14:paraId="24BCEA87" w14:textId="77777777" w:rsidR="002B59EF" w:rsidRDefault="002B59EF" w:rsidP="00921D91">
      <w:pPr>
        <w:jc w:val="center"/>
        <w:rPr>
          <w:lang w:val="en-NZ"/>
        </w:rPr>
      </w:pPr>
    </w:p>
    <w:p w14:paraId="407B303F" w14:textId="77777777" w:rsidR="002B59EF" w:rsidRDefault="002B59EF" w:rsidP="00921D91">
      <w:pPr>
        <w:jc w:val="center"/>
        <w:rPr>
          <w:lang w:val="en-NZ"/>
        </w:rPr>
      </w:pPr>
    </w:p>
    <w:p w14:paraId="259135CB" w14:textId="77777777" w:rsidR="002B59EF" w:rsidRDefault="002B59EF" w:rsidP="00921D91">
      <w:pPr>
        <w:jc w:val="center"/>
        <w:rPr>
          <w:lang w:val="en-NZ"/>
        </w:rPr>
      </w:pPr>
    </w:p>
    <w:p w14:paraId="29B931FD" w14:textId="77777777" w:rsidR="00770F47" w:rsidRDefault="00770F47" w:rsidP="00921D91">
      <w:pPr>
        <w:jc w:val="center"/>
        <w:rPr>
          <w:lang w:val="en-NZ"/>
        </w:rPr>
      </w:pPr>
    </w:p>
    <w:p w14:paraId="232EC653" w14:textId="77777777" w:rsidR="002B59EF" w:rsidRDefault="002B59EF" w:rsidP="00921D91">
      <w:pPr>
        <w:jc w:val="center"/>
        <w:rPr>
          <w:lang w:val="en-NZ"/>
        </w:rPr>
      </w:pPr>
    </w:p>
    <w:p w14:paraId="10DE9979" w14:textId="77777777" w:rsidR="002B59EF" w:rsidRDefault="002B59EF" w:rsidP="00921D91">
      <w:pPr>
        <w:jc w:val="center"/>
        <w:rPr>
          <w:lang w:val="en-NZ"/>
        </w:rPr>
      </w:pPr>
    </w:p>
    <w:p w14:paraId="472B24AB" w14:textId="20115309" w:rsidR="002B59EF" w:rsidRDefault="00B75256" w:rsidP="00D007AD">
      <w:pPr>
        <w:pStyle w:val="Heading1"/>
        <w:numPr>
          <w:ilvl w:val="0"/>
          <w:numId w:val="2"/>
        </w:numPr>
      </w:pPr>
      <w:r>
        <w:t>Calculations</w:t>
      </w:r>
    </w:p>
    <w:p w14:paraId="165D8634" w14:textId="77777777" w:rsidR="00AE43D0" w:rsidRDefault="00C137DF" w:rsidP="006A2969">
      <w:pPr>
        <w:jc w:val="both"/>
        <w:rPr>
          <w:lang w:val="en-NZ"/>
        </w:rPr>
      </w:pPr>
      <w:r>
        <w:rPr>
          <w:lang w:val="en-NZ"/>
        </w:rPr>
        <w:t>Several calculations were carried out to size key components in the buck converter.</w:t>
      </w:r>
    </w:p>
    <w:p w14:paraId="3294BAA1" w14:textId="2C8D4A71" w:rsidR="00AE43D0" w:rsidRDefault="00D007AD" w:rsidP="000B6992">
      <w:pPr>
        <w:pStyle w:val="Heading3"/>
        <w:spacing w:after="160"/>
        <w:ind w:firstLine="720"/>
        <w:rPr>
          <w:lang w:val="en-NZ"/>
        </w:rPr>
      </w:pPr>
      <w:r>
        <w:rPr>
          <w:lang w:val="en-NZ"/>
        </w:rPr>
        <w:t xml:space="preserve">1.1 </w:t>
      </w:r>
      <w:r w:rsidR="00AE43D0">
        <w:rPr>
          <w:lang w:val="en-NZ"/>
        </w:rPr>
        <w:t>Inductor</w:t>
      </w:r>
    </w:p>
    <w:p w14:paraId="6BF260C7" w14:textId="0E61D822" w:rsidR="00B75256" w:rsidRDefault="004659F9" w:rsidP="006A2969">
      <w:pPr>
        <w:jc w:val="both"/>
        <w:rPr>
          <w:lang w:val="en-NZ"/>
        </w:rPr>
      </w:pPr>
      <w:r>
        <w:rPr>
          <w:lang w:val="en-NZ"/>
        </w:rPr>
        <w:t>T</w:t>
      </w:r>
      <w:r w:rsidR="007252C4">
        <w:rPr>
          <w:lang w:val="en-NZ"/>
        </w:rPr>
        <w:t xml:space="preserve">o </w:t>
      </w:r>
      <w:r w:rsidR="006C287E">
        <w:rPr>
          <w:lang w:val="en-NZ"/>
        </w:rPr>
        <w:t>ensure continuous</w:t>
      </w:r>
      <w:r w:rsidR="007252C4">
        <w:rPr>
          <w:lang w:val="en-NZ"/>
        </w:rPr>
        <w:t xml:space="preserve"> </w:t>
      </w:r>
      <w:r w:rsidR="00731013">
        <w:rPr>
          <w:lang w:val="en-NZ"/>
        </w:rPr>
        <w:t xml:space="preserve">current </w:t>
      </w:r>
      <w:r w:rsidR="006C287E">
        <w:rPr>
          <w:lang w:val="en-NZ"/>
        </w:rPr>
        <w:t>through</w:t>
      </w:r>
      <w:r w:rsidR="00731013">
        <w:rPr>
          <w:lang w:val="en-NZ"/>
        </w:rPr>
        <w:t xml:space="preserve"> the inductor</w:t>
      </w:r>
      <w:r w:rsidR="00C7749C">
        <w:rPr>
          <w:lang w:val="en-NZ"/>
        </w:rPr>
        <w:t xml:space="preserve">, </w:t>
      </w:r>
      <w:r w:rsidR="001C4DF6">
        <w:rPr>
          <w:lang w:val="en-NZ"/>
        </w:rPr>
        <w:t xml:space="preserve">the </w:t>
      </w:r>
      <w:r w:rsidR="00BB4E3E">
        <w:rPr>
          <w:lang w:val="en-NZ"/>
        </w:rPr>
        <w:t xml:space="preserve">change in current over the inductor </w:t>
      </w:r>
      <w:r w:rsidR="00EA4807">
        <w:rPr>
          <w:lang w:val="en-NZ"/>
        </w:rPr>
        <w:t>has to be</w:t>
      </w:r>
      <w:r w:rsidR="006C287E">
        <w:rPr>
          <w:lang w:val="en-NZ"/>
        </w:rPr>
        <w:t xml:space="preserve"> </w:t>
      </w:r>
      <w:r w:rsidR="00BB4E3E">
        <w:rPr>
          <w:lang w:val="en-NZ"/>
        </w:rPr>
        <w:t xml:space="preserve">less than half the output current. This relationship is described in </w:t>
      </w:r>
      <w:r w:rsidR="00C7749C">
        <w:rPr>
          <w:lang w:val="en-NZ"/>
        </w:rPr>
        <w:t xml:space="preserve">equation </w:t>
      </w:r>
      <w:r w:rsidR="00D44AD5">
        <w:rPr>
          <w:lang w:val="en-NZ"/>
        </w:rPr>
        <w:t>(1)</w:t>
      </w:r>
      <w:r w:rsidR="00BB4E3E">
        <w:rPr>
          <w:lang w:val="en-NZ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0"/>
        <w:gridCol w:w="506"/>
      </w:tblGrid>
      <w:tr w:rsidR="00731013" w14:paraId="4E89E2F3" w14:textId="77777777" w:rsidTr="00C22676">
        <w:tc>
          <w:tcPr>
            <w:tcW w:w="8525" w:type="dxa"/>
          </w:tcPr>
          <w:p w14:paraId="62D1AF9C" w14:textId="360C3C64" w:rsidR="00A32A5F" w:rsidRDefault="00A244E4" w:rsidP="006A2969">
            <w:pPr>
              <w:spacing w:after="160"/>
              <w:jc w:val="both"/>
              <w:rPr>
                <w:lang w:val="en-N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N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NZ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lang w:val="en-NZ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lang w:val="en-NZ"/>
                  </w:rPr>
                  <m:t>&gt;</m:t>
                </m:r>
                <m:r>
                  <w:rPr>
                    <w:rFonts w:ascii="Cambria Math" w:hAnsi="Cambria Math"/>
                    <w:lang w:val="en-NZ"/>
                  </w:rPr>
                  <m:t>2∆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N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NZ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lang w:val="en-NZ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501" w:type="dxa"/>
          </w:tcPr>
          <w:p w14:paraId="214AD2E8" w14:textId="13CD2231" w:rsidR="00731013" w:rsidRDefault="00D44AD5" w:rsidP="006A2969">
            <w:pPr>
              <w:jc w:val="both"/>
              <w:rPr>
                <w:lang w:val="en-NZ"/>
              </w:rPr>
            </w:pPr>
            <w:r>
              <w:rPr>
                <w:lang w:val="en-NZ"/>
              </w:rPr>
              <w:t>(1)</w:t>
            </w:r>
          </w:p>
        </w:tc>
      </w:tr>
    </w:tbl>
    <w:p w14:paraId="0254FD9A" w14:textId="2D856B4C" w:rsidR="001C4DF6" w:rsidRDefault="001C4DF6" w:rsidP="006A2969">
      <w:pPr>
        <w:jc w:val="both"/>
        <w:rPr>
          <w:lang w:val="en-NZ"/>
        </w:rPr>
      </w:pPr>
      <w:r>
        <w:rPr>
          <w:lang w:val="en-NZ"/>
        </w:rPr>
        <w:t xml:space="preserve">To </w:t>
      </w:r>
      <w:r w:rsidR="00F61C26">
        <w:rPr>
          <w:lang w:val="en-NZ"/>
        </w:rPr>
        <w:t>ens</w:t>
      </w:r>
      <w:r>
        <w:rPr>
          <w:lang w:val="en-NZ"/>
        </w:rPr>
        <w:t xml:space="preserve">ure the worst-case operating point was well away from this threshold, </w:t>
      </w:r>
      <w:r w:rsidR="002C623E">
        <w:rPr>
          <w:lang w:val="en-NZ"/>
        </w:rPr>
        <w:t xml:space="preserve">an offset was applied to this relationship, described in </w:t>
      </w:r>
      <w:r w:rsidR="00A673AC" w:rsidRPr="002C623E">
        <w:rPr>
          <w:lang w:val="en-NZ"/>
        </w:rPr>
        <w:t>equation</w:t>
      </w:r>
      <w:r w:rsidRPr="002C623E">
        <w:rPr>
          <w:lang w:val="en-NZ"/>
        </w:rPr>
        <w:t xml:space="preserve"> (2).</w:t>
      </w:r>
      <w:r w:rsidR="008A386F">
        <w:rPr>
          <w:lang w:val="en-NZ"/>
        </w:rPr>
        <w:t xml:space="preserve"> This allowed values from derivative equations to be used directly, </w:t>
      </w:r>
      <w:r w:rsidR="00956CB0">
        <w:rPr>
          <w:lang w:val="en-NZ"/>
        </w:rPr>
        <w:t>rather than</w:t>
      </w:r>
      <w:r w:rsidR="008A386F">
        <w:rPr>
          <w:lang w:val="en-NZ"/>
        </w:rPr>
        <w:t xml:space="preserve"> increasing them by an </w:t>
      </w:r>
      <w:r w:rsidR="009E297F">
        <w:rPr>
          <w:lang w:val="en-NZ"/>
        </w:rPr>
        <w:t>arbitrarily ‘safe’ amount.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0"/>
        <w:gridCol w:w="506"/>
      </w:tblGrid>
      <w:tr w:rsidR="001C4DF6" w14:paraId="0AC18516" w14:textId="77777777" w:rsidTr="00C22676">
        <w:tc>
          <w:tcPr>
            <w:tcW w:w="8525" w:type="dxa"/>
          </w:tcPr>
          <w:p w14:paraId="5C25908D" w14:textId="542FAA92" w:rsidR="001C4DF6" w:rsidRDefault="00A244E4" w:rsidP="006A2969">
            <w:pPr>
              <w:spacing w:after="160"/>
              <w:jc w:val="both"/>
              <w:rPr>
                <w:lang w:val="en-N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N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NZ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lang w:val="en-NZ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lang w:val="en-NZ"/>
                  </w:rPr>
                  <m:t>=0.3∆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N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NZ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lang w:val="en-NZ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501" w:type="dxa"/>
          </w:tcPr>
          <w:p w14:paraId="282767B0" w14:textId="1F97FC23" w:rsidR="001C4DF6" w:rsidRDefault="001C4DF6" w:rsidP="006A2969">
            <w:pPr>
              <w:jc w:val="both"/>
              <w:rPr>
                <w:lang w:val="en-NZ"/>
              </w:rPr>
            </w:pPr>
            <w:r>
              <w:rPr>
                <w:lang w:val="en-NZ"/>
              </w:rPr>
              <w:t>(</w:t>
            </w:r>
            <w:r w:rsidR="006A2969">
              <w:rPr>
                <w:lang w:val="en-NZ"/>
              </w:rPr>
              <w:t>2</w:t>
            </w:r>
            <w:r>
              <w:rPr>
                <w:lang w:val="en-NZ"/>
              </w:rPr>
              <w:t>)</w:t>
            </w:r>
          </w:p>
        </w:tc>
      </w:tr>
    </w:tbl>
    <w:p w14:paraId="120B7F04" w14:textId="13F854BC" w:rsidR="00731013" w:rsidRDefault="00E750BB" w:rsidP="006A2969">
      <w:pPr>
        <w:jc w:val="both"/>
        <w:rPr>
          <w:lang w:val="en-NZ"/>
        </w:rPr>
      </w:pPr>
      <w:r>
        <w:rPr>
          <w:lang w:val="en-NZ"/>
        </w:rPr>
        <w:t>With this definition,</w:t>
      </w:r>
      <w:r w:rsidR="008072B8">
        <w:rPr>
          <w:lang w:val="en-NZ"/>
        </w:rPr>
        <w:t xml:space="preserve"> </w:t>
      </w:r>
      <w:r w:rsidR="00D03A0F">
        <w:rPr>
          <w:lang w:val="en-NZ"/>
        </w:rPr>
        <w:t>equation (3)</w:t>
      </w:r>
      <w:r w:rsidR="00FC73CA">
        <w:rPr>
          <w:lang w:val="en-NZ"/>
        </w:rPr>
        <w:t xml:space="preserve"> was derived which</w:t>
      </w:r>
      <w:r w:rsidR="00D03A0F">
        <w:rPr>
          <w:lang w:val="en-NZ"/>
        </w:rPr>
        <w:t xml:space="preserve"> </w:t>
      </w:r>
      <w:r w:rsidR="00FC73CA">
        <w:rPr>
          <w:lang w:val="en-NZ"/>
        </w:rPr>
        <w:t>states</w:t>
      </w:r>
      <w:r w:rsidR="00D03A0F">
        <w:rPr>
          <w:lang w:val="en-NZ"/>
        </w:rPr>
        <w:t xml:space="preserve"> </w:t>
      </w:r>
      <w:r w:rsidR="008072B8">
        <w:rPr>
          <w:lang w:val="en-NZ"/>
        </w:rPr>
        <w:t xml:space="preserve">the inductor size </w:t>
      </w:r>
      <w:r w:rsidR="005B1FF8">
        <w:rPr>
          <w:lang w:val="en-NZ"/>
        </w:rPr>
        <w:t>used</w:t>
      </w:r>
      <w:r w:rsidR="009D52C3">
        <w:rPr>
          <w:lang w:val="en-NZ"/>
        </w:rPr>
        <w:t xml:space="preserve"> in </w:t>
      </w:r>
      <w:r w:rsidR="00D03A0F">
        <w:rPr>
          <w:lang w:val="en-NZ"/>
        </w:rPr>
        <w:t>the buck converter.</w:t>
      </w:r>
      <w:r w:rsidR="009D52C3">
        <w:rPr>
          <w:lang w:val="en-NZ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0"/>
        <w:gridCol w:w="506"/>
      </w:tblGrid>
      <w:tr w:rsidR="006A2969" w14:paraId="35754894" w14:textId="77777777" w:rsidTr="00C22676">
        <w:tc>
          <w:tcPr>
            <w:tcW w:w="8779" w:type="dxa"/>
          </w:tcPr>
          <w:p w14:paraId="303CF441" w14:textId="642BDC4D" w:rsidR="006A2969" w:rsidRDefault="006A2969" w:rsidP="006A2969">
            <w:pPr>
              <w:spacing w:after="160"/>
              <w:jc w:val="center"/>
              <w:rPr>
                <w:lang w:val="en-NZ"/>
              </w:rPr>
            </w:pPr>
            <m:oMathPara>
              <m:oMath>
                <m:r>
                  <w:rPr>
                    <w:rFonts w:ascii="Cambria Math" w:hAnsi="Cambria Math"/>
                    <w:lang w:val="en-NZ"/>
                  </w:rPr>
                  <m:t>L=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N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N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NZ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NZ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/>
                        <w:lang w:val="en-NZ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N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NZ"/>
                          </w:rPr>
                          <m:t>1 - D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val="en-NZ"/>
                      </w:rPr>
                      <m:t>0.3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N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NZ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NZ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N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NZ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NZ"/>
                          </w:rPr>
                          <m:t>O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37" w:type="dxa"/>
          </w:tcPr>
          <w:p w14:paraId="2D732593" w14:textId="2D0A8687" w:rsidR="006A2969" w:rsidRDefault="006A2969">
            <w:pPr>
              <w:jc w:val="both"/>
              <w:rPr>
                <w:lang w:val="en-NZ"/>
              </w:rPr>
            </w:pPr>
            <w:r>
              <w:rPr>
                <w:lang w:val="en-NZ"/>
              </w:rPr>
              <w:t>(3)</w:t>
            </w:r>
          </w:p>
        </w:tc>
      </w:tr>
    </w:tbl>
    <w:p w14:paraId="336511DE" w14:textId="31CA3B03" w:rsidR="006A2969" w:rsidRDefault="00012E5A" w:rsidP="00B75256">
      <w:pPr>
        <w:rPr>
          <w:lang w:val="en-NZ"/>
        </w:rPr>
      </w:pP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V</m:t>
            </m:r>
          </m:e>
          <m:sub>
            <m:r>
              <w:rPr>
                <w:rFonts w:ascii="Cambria Math" w:hAnsi="Cambria Math"/>
                <w:lang w:val="en-NZ"/>
              </w:rPr>
              <m:t>s</m:t>
            </m:r>
          </m:sub>
        </m:sSub>
      </m:oMath>
      <w:r w:rsidR="00AB5C92">
        <w:rPr>
          <w:lang w:val="en-NZ"/>
        </w:rPr>
        <w:t xml:space="preserve"> </w:t>
      </w:r>
      <w:r w:rsidR="0032738F">
        <w:rPr>
          <w:lang w:val="en-NZ"/>
        </w:rPr>
        <w:t xml:space="preserve">was assumed to </w:t>
      </w:r>
      <m:oMath>
        <m:r>
          <w:rPr>
            <w:rFonts w:ascii="Cambria Math" w:hAnsi="Cambria Math"/>
            <w:lang w:val="en-NZ"/>
          </w:rPr>
          <m:t>15</m:t>
        </m:r>
        <m:r>
          <w:rPr>
            <w:rFonts w:ascii="Cambria Math" w:hAnsi="Cambria Math"/>
            <w:lang w:val="en-NZ"/>
          </w:rPr>
          <m:t>V</m:t>
        </m:r>
      </m:oMath>
      <w:r w:rsidR="0032738F">
        <w:rPr>
          <w:lang w:val="en-NZ"/>
        </w:rPr>
        <w:t>,</w:t>
      </w:r>
      <w:r w:rsidR="001A7150" w:rsidRPr="001A7150">
        <w:rPr>
          <w:rFonts w:ascii="Cambria Math" w:hAnsi="Cambria Math"/>
          <w:i/>
          <w:lang w:val="en-NZ"/>
        </w:rPr>
        <w:t xml:space="preserve"> </w:t>
      </w:r>
      <w:r w:rsidR="001A7150">
        <w:rPr>
          <w:rFonts w:ascii="Cambria Math" w:hAnsi="Cambria Math"/>
          <w:i/>
          <w:lang w:val="en-NZ"/>
        </w:rPr>
        <w:t xml:space="preserve"> </w:t>
      </w:r>
      <m:oMath>
        <m:r>
          <w:rPr>
            <w:rFonts w:ascii="Cambria Math" w:hAnsi="Cambria Math"/>
            <w:lang w:val="en-NZ"/>
          </w:rPr>
          <m:t>D</m:t>
        </m:r>
      </m:oMath>
      <w:r w:rsidR="001A7150">
        <w:rPr>
          <w:lang w:val="en-NZ"/>
        </w:rPr>
        <w:t xml:space="preserve"> was set to be </w:t>
      </w:r>
      <m:oMath>
        <m:r>
          <w:rPr>
            <w:rFonts w:ascii="Cambria Math" w:hAnsi="Cambria Math"/>
            <w:lang w:val="en-NZ"/>
          </w:rPr>
          <m:t>0.5</m:t>
        </m:r>
      </m:oMath>
      <w:r w:rsidR="001A7150">
        <w:rPr>
          <w:lang w:val="en-NZ"/>
        </w:rPr>
        <w:t xml:space="preserve"> to design for the worst case. Similarly,</w:t>
      </w:r>
      <w:r w:rsidR="0032738F">
        <w:rPr>
          <w:lang w:val="en-N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I</m:t>
            </m:r>
          </m:e>
          <m:sub>
            <m:r>
              <w:rPr>
                <w:rFonts w:ascii="Cambria Math" w:hAnsi="Cambria Math"/>
                <w:lang w:val="en-NZ"/>
              </w:rPr>
              <m:t>O</m:t>
            </m:r>
          </m:sub>
        </m:sSub>
      </m:oMath>
      <w:r w:rsidR="00AB5C92">
        <w:rPr>
          <w:lang w:val="en-NZ"/>
        </w:rPr>
        <w:t xml:space="preserve"> was chosen to be </w:t>
      </w:r>
      <m:oMath>
        <m:r>
          <w:rPr>
            <w:rFonts w:ascii="Cambria Math" w:hAnsi="Cambria Math"/>
            <w:lang w:val="en-NZ"/>
          </w:rPr>
          <m:t>2.5</m:t>
        </m:r>
        <m:r>
          <w:rPr>
            <w:rFonts w:ascii="Cambria Math" w:hAnsi="Cambria Math"/>
            <w:lang w:val="en-NZ"/>
          </w:rPr>
          <m:t>A</m:t>
        </m:r>
      </m:oMath>
      <w:r w:rsidR="0032738F">
        <w:rPr>
          <w:lang w:val="en-NZ"/>
        </w:rPr>
        <w:t xml:space="preserve"> as th</w:t>
      </w:r>
      <w:r w:rsidR="00AB5C92">
        <w:rPr>
          <w:lang w:val="en-NZ"/>
        </w:rPr>
        <w:t>is is the</w:t>
      </w:r>
      <w:r w:rsidR="0032738F">
        <w:rPr>
          <w:lang w:val="en-NZ"/>
        </w:rPr>
        <w:t xml:space="preserve"> </w:t>
      </w:r>
      <w:r w:rsidR="00AB5C92">
        <w:rPr>
          <w:lang w:val="en-NZ"/>
        </w:rPr>
        <w:t>worst-case</w:t>
      </w:r>
      <w:r w:rsidR="0032738F">
        <w:rPr>
          <w:lang w:val="en-NZ"/>
        </w:rPr>
        <w:t xml:space="preserve"> current draw</w:t>
      </w:r>
      <w:r w:rsidR="001A7150">
        <w:rPr>
          <w:lang w:val="en-NZ"/>
        </w:rPr>
        <w:t xml:space="preserve"> the buck converter would experience</w:t>
      </w:r>
      <w:r w:rsidR="00FC73CA">
        <w:rPr>
          <w:lang w:val="en-NZ"/>
        </w:rPr>
        <w:t>.</w:t>
      </w:r>
      <w:r w:rsidR="0072389B">
        <w:rPr>
          <w:lang w:val="en-N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f</m:t>
            </m:r>
          </m:e>
          <m:sub>
            <m:r>
              <w:rPr>
                <w:rFonts w:ascii="Cambria Math" w:hAnsi="Cambria Math"/>
                <w:lang w:val="en-NZ"/>
              </w:rPr>
              <m:t>s</m:t>
            </m:r>
          </m:sub>
        </m:sSub>
      </m:oMath>
      <w:r w:rsidR="0072389B">
        <w:rPr>
          <w:lang w:val="en-NZ"/>
        </w:rPr>
        <w:t xml:space="preserve"> was set to be </w:t>
      </w:r>
      <m:oMath>
        <m:r>
          <w:rPr>
            <w:rFonts w:ascii="Cambria Math" w:hAnsi="Cambria Math"/>
            <w:lang w:val="en-NZ"/>
          </w:rPr>
          <m:t>50kHz</m:t>
        </m:r>
      </m:oMath>
      <w:r w:rsidR="0072389B">
        <w:rPr>
          <w:lang w:val="en-NZ"/>
        </w:rPr>
        <w:t xml:space="preserve">. This gave </w:t>
      </w:r>
      <m:oMath>
        <m:r>
          <w:rPr>
            <w:rFonts w:ascii="Cambria Math" w:hAnsi="Cambria Math"/>
            <w:lang w:val="en-NZ"/>
          </w:rPr>
          <m:t>L</m:t>
        </m:r>
        <m:r>
          <w:rPr>
            <w:rFonts w:ascii="Cambria Math" w:hAnsi="Cambria Math"/>
            <w:lang w:val="en-NZ"/>
          </w:rPr>
          <m:t>=</m:t>
        </m:r>
        <m:r>
          <w:rPr>
            <w:rFonts w:ascii="Cambria Math" w:hAnsi="Cambria Math"/>
            <w:lang w:val="en-NZ"/>
          </w:rPr>
          <m:t>100</m:t>
        </m:r>
        <m:r>
          <w:rPr>
            <w:rFonts w:ascii="Cambria Math" w:hAnsi="Cambria Math"/>
            <w:lang w:val="en-NZ"/>
          </w:rPr>
          <m:t>μH</m:t>
        </m:r>
      </m:oMath>
      <w:r w:rsidR="00D546B1">
        <w:rPr>
          <w:lang w:val="en-NZ"/>
        </w:rPr>
        <w:t>.</w:t>
      </w:r>
      <w:r w:rsidR="005F61C6">
        <w:rPr>
          <w:lang w:val="en-NZ"/>
        </w:rPr>
        <w:t xml:space="preserve"> However, through simulation it was found that there was a significant start-up current spike and drop. To keep this drop above zero to avoid discontinuous inductor operation, a value of </w:t>
      </w:r>
      <m:oMath>
        <m:r>
          <w:rPr>
            <w:rFonts w:ascii="Cambria Math" w:hAnsi="Cambria Math"/>
            <w:lang w:val="en-NZ"/>
          </w:rPr>
          <m:t>=200μH</m:t>
        </m:r>
      </m:oMath>
      <w:r w:rsidR="005F61C6">
        <w:rPr>
          <w:lang w:val="en-NZ"/>
        </w:rPr>
        <w:t xml:space="preserve"> was chosen.</w:t>
      </w:r>
    </w:p>
    <w:p w14:paraId="1E7B5034" w14:textId="6F7FCFDA" w:rsidR="00AE43D0" w:rsidRDefault="00D007AD" w:rsidP="000B6992">
      <w:pPr>
        <w:pStyle w:val="Heading3"/>
        <w:spacing w:after="160"/>
        <w:ind w:firstLine="720"/>
        <w:rPr>
          <w:lang w:val="en-NZ"/>
        </w:rPr>
      </w:pPr>
      <w:r>
        <w:rPr>
          <w:lang w:val="en-NZ"/>
        </w:rPr>
        <w:t xml:space="preserve">1.2 </w:t>
      </w:r>
      <w:r w:rsidR="00AE43D0">
        <w:rPr>
          <w:lang w:val="en-NZ"/>
        </w:rPr>
        <w:t>Capacitor</w:t>
      </w:r>
    </w:p>
    <w:p w14:paraId="67C3314C" w14:textId="4B322419" w:rsidR="008072B8" w:rsidRDefault="0011195C" w:rsidP="00B75256">
      <w:pPr>
        <w:rPr>
          <w:lang w:val="en-NZ"/>
        </w:rPr>
      </w:pPr>
      <w:r>
        <w:rPr>
          <w:lang w:val="en-NZ"/>
        </w:rPr>
        <w:t>E</w:t>
      </w:r>
      <w:r w:rsidR="003C787F">
        <w:rPr>
          <w:lang w:val="en-NZ"/>
        </w:rPr>
        <w:t>quation (4) was derived</w:t>
      </w:r>
      <w:r>
        <w:rPr>
          <w:lang w:val="en-NZ"/>
        </w:rPr>
        <w:t xml:space="preserve"> </w:t>
      </w:r>
      <w:r w:rsidR="00DA0D09">
        <w:rPr>
          <w:lang w:val="en-NZ"/>
        </w:rPr>
        <w:t xml:space="preserve">using the expression for current for a capacitor, setting </w:t>
      </w:r>
      <m:oMath>
        <m:r>
          <w:rPr>
            <w:rFonts w:ascii="Cambria Math" w:hAnsi="Cambria Math"/>
            <w:lang w:val="en-NZ"/>
          </w:rPr>
          <m:t>∆</m:t>
        </m:r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i</m:t>
            </m:r>
          </m:e>
          <m:sub>
            <m:r>
              <w:rPr>
                <w:rFonts w:ascii="Cambria Math" w:hAnsi="Cambria Math"/>
                <w:lang w:val="en-NZ"/>
              </w:rPr>
              <m:t>L</m:t>
            </m:r>
          </m:sub>
        </m:sSub>
        <m:r>
          <w:rPr>
            <w:rFonts w:ascii="Cambria Math" w:hAnsi="Cambria Math"/>
            <w:lang w:val="en-NZ"/>
          </w:rPr>
          <m:t>=∆</m:t>
        </m:r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i</m:t>
            </m:r>
          </m:e>
          <m:sub>
            <m:r>
              <w:rPr>
                <w:rFonts w:ascii="Cambria Math" w:hAnsi="Cambria Math"/>
                <w:lang w:val="en-NZ"/>
              </w:rPr>
              <m:t>c</m:t>
            </m:r>
          </m:sub>
        </m:sSub>
        <m:r>
          <w:rPr>
            <w:rFonts w:ascii="Cambria Math" w:hAnsi="Cambria Math"/>
            <w:lang w:val="en-NZ"/>
          </w:rPr>
          <m:t xml:space="preserve"> </m:t>
        </m:r>
      </m:oMath>
      <w:r w:rsidR="002B0538">
        <w:rPr>
          <w:lang w:val="en-NZ"/>
        </w:rPr>
        <w:t>and re-arranging for the capacitance</w:t>
      </w:r>
      <w:r w:rsidR="00953E43">
        <w:rPr>
          <w:lang w:val="en-NZ"/>
        </w:rPr>
        <w:t>. E</w:t>
      </w:r>
      <w:r w:rsidR="007A10F5">
        <w:rPr>
          <w:lang w:val="en-NZ"/>
        </w:rPr>
        <w:t>quation (2) was</w:t>
      </w:r>
      <w:r w:rsidR="00953E43">
        <w:rPr>
          <w:lang w:val="en-NZ"/>
        </w:rPr>
        <w:t xml:space="preserve"> then</w:t>
      </w:r>
      <w:r w:rsidR="007A10F5">
        <w:rPr>
          <w:lang w:val="en-NZ"/>
        </w:rPr>
        <w:t xml:space="preserve"> rearranged for </w:t>
      </w:r>
      <m:oMath>
        <m:r>
          <w:rPr>
            <w:rFonts w:ascii="Cambria Math" w:hAnsi="Cambria Math"/>
            <w:lang w:val="en-NZ"/>
          </w:rPr>
          <m:t>∆</m:t>
        </m:r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i</m:t>
            </m:r>
          </m:e>
          <m:sub>
            <m:r>
              <w:rPr>
                <w:rFonts w:ascii="Cambria Math" w:hAnsi="Cambria Math"/>
                <w:lang w:val="en-NZ"/>
              </w:rPr>
              <m:t>L</m:t>
            </m:r>
          </m:sub>
        </m:sSub>
      </m:oMath>
      <w:r w:rsidR="007A10F5">
        <w:rPr>
          <w:lang w:val="en-NZ"/>
        </w:rPr>
        <w:t xml:space="preserve"> </w:t>
      </w:r>
      <w:r w:rsidR="00953E43">
        <w:rPr>
          <w:lang w:val="en-NZ"/>
        </w:rPr>
        <w:t xml:space="preserve">and </w:t>
      </w:r>
      <w:r w:rsidR="007A10F5">
        <w:rPr>
          <w:lang w:val="en-NZ"/>
        </w:rPr>
        <w:t>subbed in.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5"/>
        <w:gridCol w:w="506"/>
      </w:tblGrid>
      <w:tr w:rsidR="008072B8" w14:paraId="0EA752BE" w14:textId="77777777" w:rsidTr="00C22676">
        <w:tc>
          <w:tcPr>
            <w:tcW w:w="8515" w:type="dxa"/>
          </w:tcPr>
          <w:p w14:paraId="13B218D9" w14:textId="34AEFFAD" w:rsidR="008072B8" w:rsidRDefault="008A386F" w:rsidP="3848C222">
            <w:pPr>
              <w:spacing w:after="160"/>
              <w:jc w:val="center"/>
            </w:pPr>
            <m:oMathPara>
              <m:oMath>
                <m:r>
                  <w:rPr>
                    <w:rFonts w:ascii="Cambria Math" w:hAnsi="Cambria Math"/>
                    <w:lang w:val="en-NZ"/>
                  </w:rPr>
                  <m:t>C=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N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NZ"/>
                      </w:rPr>
                      <m:t>0.3∆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N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NZ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NZ"/>
                          </w:rPr>
                          <m:t>O</m:t>
                        </m:r>
                      </m:sub>
                    </m:sSub>
                    <m:r>
                      <w:rPr>
                        <w:rFonts w:ascii="Cambria Math" w:hAnsi="Cambria Math"/>
                        <w:lang w:val="en-NZ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N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NZ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NZ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/>
                        <w:lang w:val="en-NZ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N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NZ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NZ"/>
                          </w:rPr>
                          <m:t>O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501" w:type="dxa"/>
          </w:tcPr>
          <w:p w14:paraId="3270061D" w14:textId="46AC3597" w:rsidR="008072B8" w:rsidRDefault="008072B8" w:rsidP="008072B8">
            <w:pPr>
              <w:rPr>
                <w:lang w:val="en-NZ"/>
              </w:rPr>
            </w:pPr>
            <w:r>
              <w:rPr>
                <w:lang w:val="en-NZ"/>
              </w:rPr>
              <w:t>(4)</w:t>
            </w:r>
          </w:p>
        </w:tc>
      </w:tr>
    </w:tbl>
    <w:p w14:paraId="2507DAE8" w14:textId="1BB1CFFF" w:rsidR="00B75256" w:rsidRDefault="00012E5A" w:rsidP="00B75256">
      <w:pPr>
        <w:rPr>
          <w:lang w:val="en-NZ"/>
        </w:rPr>
      </w:pP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V</m:t>
            </m:r>
          </m:e>
          <m:sub>
            <m:r>
              <w:rPr>
                <w:rFonts w:ascii="Cambria Math" w:hAnsi="Cambria Math"/>
                <w:lang w:val="en-NZ"/>
              </w:rPr>
              <m:t>O</m:t>
            </m:r>
          </m:sub>
        </m:sSub>
      </m:oMath>
      <w:r w:rsidR="006F30FC">
        <w:rPr>
          <w:lang w:val="en-NZ"/>
        </w:rPr>
        <w:t xml:space="preserve"> was </w:t>
      </w:r>
      <w:r w:rsidR="0015228C">
        <w:rPr>
          <w:lang w:val="en-NZ"/>
        </w:rPr>
        <w:t xml:space="preserve">set to be </w:t>
      </w:r>
      <m:oMath>
        <m:r>
          <w:rPr>
            <w:rFonts w:ascii="Cambria Math" w:hAnsi="Cambria Math"/>
            <w:lang w:val="en-NZ"/>
          </w:rPr>
          <m:t>7</m:t>
        </m:r>
        <m:r>
          <w:rPr>
            <w:rFonts w:ascii="Cambria Math" w:hAnsi="Cambria Math"/>
            <w:lang w:val="en-NZ"/>
          </w:rPr>
          <m:t>V</m:t>
        </m:r>
        <m:r>
          <w:rPr>
            <w:rFonts w:ascii="Cambria Math" w:hAnsi="Cambria Math"/>
            <w:lang w:val="en-NZ"/>
          </w:rPr>
          <m:t xml:space="preserve">. </m:t>
        </m:r>
      </m:oMath>
      <w:r w:rsidR="002C5CBC">
        <w:rPr>
          <w:lang w:val="en-NZ"/>
        </w:rPr>
        <w:t>T</w:t>
      </w:r>
      <w:r w:rsidR="00D546B1">
        <w:rPr>
          <w:lang w:val="en-NZ"/>
        </w:rPr>
        <w:t xml:space="preserve">he maximum allowable </w:t>
      </w:r>
      <m:oMath>
        <m:r>
          <w:rPr>
            <w:rFonts w:ascii="Cambria Math" w:hAnsi="Cambria Math"/>
            <w:lang w:val="en-NZ"/>
          </w:rPr>
          <m:t>∆</m:t>
        </m:r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V</m:t>
            </m:r>
          </m:e>
          <m:sub>
            <m:r>
              <w:rPr>
                <w:rFonts w:ascii="Cambria Math" w:hAnsi="Cambria Math"/>
                <w:lang w:val="en-NZ"/>
              </w:rPr>
              <m:t>O</m:t>
            </m:r>
          </m:sub>
        </m:sSub>
      </m:oMath>
      <w:r w:rsidR="00D546B1">
        <w:rPr>
          <w:lang w:val="en-NZ"/>
        </w:rPr>
        <w:t xml:space="preserve"> was chosen to be</w:t>
      </w:r>
      <w:r w:rsidR="006F30FC">
        <w:rPr>
          <w:lang w:val="en-NZ"/>
        </w:rPr>
        <w:t xml:space="preserve"> </w:t>
      </w:r>
      <m:oMath>
        <m:r>
          <w:rPr>
            <w:rFonts w:ascii="Cambria Math" w:hAnsi="Cambria Math"/>
            <w:lang w:val="en-NZ"/>
          </w:rPr>
          <m:t>1%</m:t>
        </m:r>
      </m:oMath>
      <w:r w:rsidR="006F30FC">
        <w:rPr>
          <w:lang w:val="en-NZ"/>
        </w:rPr>
        <w:t xml:space="preserve">, or </w:t>
      </w:r>
      <m:oMath>
        <m:r>
          <w:rPr>
            <w:rFonts w:ascii="Cambria Math" w:hAnsi="Cambria Math"/>
            <w:lang w:val="en-NZ"/>
          </w:rPr>
          <m:t>0.07</m:t>
        </m:r>
        <m:r>
          <w:rPr>
            <w:rFonts w:ascii="Cambria Math" w:hAnsi="Cambria Math"/>
            <w:lang w:val="en-NZ"/>
          </w:rPr>
          <m:t>V</m:t>
        </m:r>
      </m:oMath>
      <w:r w:rsidR="008A386F">
        <w:rPr>
          <w:lang w:val="en-NZ"/>
        </w:rPr>
        <w:t xml:space="preserve">. With these values, </w:t>
      </w:r>
      <w:r w:rsidR="00091A38">
        <w:rPr>
          <w:lang w:val="en-NZ"/>
        </w:rPr>
        <w:t xml:space="preserve">the capacitance was determined to be </w:t>
      </w:r>
      <m:oMath>
        <m:r>
          <w:rPr>
            <w:rFonts w:ascii="Cambria Math" w:hAnsi="Cambria Math"/>
            <w:lang w:val="en-NZ"/>
          </w:rPr>
          <m:t>107</m:t>
        </m:r>
        <m:r>
          <w:rPr>
            <w:rFonts w:ascii="Cambria Math" w:hAnsi="Cambria Math"/>
            <w:lang w:val="en-NZ"/>
          </w:rPr>
          <m:t>μF</m:t>
        </m:r>
      </m:oMath>
      <w:r w:rsidR="00C22676">
        <w:rPr>
          <w:lang w:val="en-NZ"/>
        </w:rPr>
        <w:t>.</w:t>
      </w:r>
      <w:r w:rsidR="00D007AD">
        <w:rPr>
          <w:lang w:val="en-NZ"/>
        </w:rPr>
        <w:t xml:space="preserve"> </w:t>
      </w:r>
    </w:p>
    <w:p w14:paraId="0DDA95E2" w14:textId="77777777" w:rsidR="00B75256" w:rsidRDefault="00B75256" w:rsidP="00B75256">
      <w:pPr>
        <w:rPr>
          <w:lang w:val="en-NZ"/>
        </w:rPr>
      </w:pPr>
    </w:p>
    <w:p w14:paraId="5019CA9A" w14:textId="77777777" w:rsidR="00B75256" w:rsidRDefault="00B75256" w:rsidP="00B75256">
      <w:pPr>
        <w:rPr>
          <w:lang w:val="en-NZ"/>
        </w:rPr>
      </w:pPr>
    </w:p>
    <w:p w14:paraId="708586AA" w14:textId="77777777" w:rsidR="00B75256" w:rsidRDefault="00B75256" w:rsidP="00B75256">
      <w:pPr>
        <w:rPr>
          <w:lang w:val="en-NZ"/>
        </w:rPr>
      </w:pPr>
    </w:p>
    <w:p w14:paraId="11C99E04" w14:textId="77777777" w:rsidR="00B75256" w:rsidRDefault="00B75256" w:rsidP="00B75256">
      <w:pPr>
        <w:rPr>
          <w:lang w:val="en-NZ"/>
        </w:rPr>
      </w:pPr>
    </w:p>
    <w:p w14:paraId="142D493C" w14:textId="77777777" w:rsidR="00C22676" w:rsidRDefault="00C22676" w:rsidP="00B75256">
      <w:pPr>
        <w:rPr>
          <w:lang w:val="en-NZ"/>
        </w:rPr>
      </w:pPr>
    </w:p>
    <w:p w14:paraId="77FA1112" w14:textId="77777777" w:rsidR="00C22676" w:rsidRDefault="00C22676" w:rsidP="00B75256">
      <w:pPr>
        <w:rPr>
          <w:lang w:val="en-NZ"/>
        </w:rPr>
      </w:pPr>
    </w:p>
    <w:p w14:paraId="1BDE3F06" w14:textId="658A4BCD" w:rsidR="00B75256" w:rsidRDefault="0035604E" w:rsidP="00333913">
      <w:pPr>
        <w:pStyle w:val="Heading1"/>
        <w:numPr>
          <w:ilvl w:val="0"/>
          <w:numId w:val="2"/>
        </w:numPr>
      </w:pPr>
      <w:r>
        <w:t>Circuit</w:t>
      </w:r>
    </w:p>
    <w:p w14:paraId="3EB7003F" w14:textId="1A83E86D" w:rsidR="0035604E" w:rsidRDefault="00476570" w:rsidP="0035604E">
      <w:pPr>
        <w:rPr>
          <w:lang w:val="en-NZ"/>
        </w:rPr>
      </w:pPr>
      <w:r>
        <w:rPr>
          <w:lang w:val="en-NZ"/>
        </w:rPr>
        <w:t xml:space="preserve">The buck converter and TL494 </w:t>
      </w:r>
      <w:r w:rsidR="003F1CF4">
        <w:rPr>
          <w:lang w:val="en-NZ"/>
        </w:rPr>
        <w:t>circuitry used for the simulation is</w:t>
      </w:r>
      <w:r>
        <w:rPr>
          <w:lang w:val="en-NZ"/>
        </w:rPr>
        <w:t xml:space="preserve"> shown in Figure 1.</w:t>
      </w:r>
    </w:p>
    <w:p w14:paraId="3F768030" w14:textId="4A5422A7" w:rsidR="003F1CF4" w:rsidRDefault="4088D9BA" w:rsidP="0035604E">
      <w:r>
        <w:rPr>
          <w:noProof/>
        </w:rPr>
        <w:drawing>
          <wp:inline distT="0" distB="0" distL="0" distR="0" wp14:anchorId="2FF9489E" wp14:editId="353130D8">
            <wp:extent cx="5724525" cy="3581400"/>
            <wp:effectExtent l="0" t="0" r="0" b="0"/>
            <wp:docPr id="130110249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10249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4D974" w14:textId="5BDE00E0" w:rsidR="003F1CF4" w:rsidRDefault="003F1CF4" w:rsidP="003F1CF4">
      <w:pPr>
        <w:jc w:val="center"/>
        <w:rPr>
          <w:lang w:val="en-NZ"/>
        </w:rPr>
      </w:pPr>
      <w:r>
        <w:rPr>
          <w:lang w:val="en-NZ"/>
        </w:rPr>
        <w:t>Figure 1: Circuit diagram.</w:t>
      </w:r>
    </w:p>
    <w:p w14:paraId="0BCF3323" w14:textId="063E9D40" w:rsidR="000B5EA9" w:rsidRDefault="000B5EA9" w:rsidP="0035604E">
      <w:pPr>
        <w:rPr>
          <w:lang w:val="en-NZ"/>
        </w:rPr>
      </w:pPr>
    </w:p>
    <w:p w14:paraId="1779EF70" w14:textId="77777777" w:rsidR="0035604E" w:rsidRDefault="0035604E" w:rsidP="0035604E">
      <w:pPr>
        <w:rPr>
          <w:lang w:val="en-NZ"/>
        </w:rPr>
      </w:pPr>
    </w:p>
    <w:p w14:paraId="72159C56" w14:textId="77777777" w:rsidR="005224A6" w:rsidRDefault="005224A6" w:rsidP="0035604E">
      <w:pPr>
        <w:rPr>
          <w:lang w:val="en-NZ"/>
        </w:rPr>
      </w:pPr>
    </w:p>
    <w:p w14:paraId="340D94C0" w14:textId="77777777" w:rsidR="005224A6" w:rsidRDefault="005224A6" w:rsidP="0035604E">
      <w:pPr>
        <w:rPr>
          <w:lang w:val="en-NZ"/>
        </w:rPr>
      </w:pPr>
    </w:p>
    <w:p w14:paraId="742EB30A" w14:textId="77777777" w:rsidR="005224A6" w:rsidRDefault="005224A6" w:rsidP="0035604E">
      <w:pPr>
        <w:rPr>
          <w:lang w:val="en-NZ"/>
        </w:rPr>
      </w:pPr>
    </w:p>
    <w:p w14:paraId="53119476" w14:textId="77777777" w:rsidR="005224A6" w:rsidRDefault="005224A6" w:rsidP="0035604E">
      <w:pPr>
        <w:rPr>
          <w:lang w:val="en-NZ"/>
        </w:rPr>
      </w:pPr>
    </w:p>
    <w:p w14:paraId="1D1326D5" w14:textId="77777777" w:rsidR="005224A6" w:rsidRDefault="005224A6" w:rsidP="0035604E">
      <w:pPr>
        <w:rPr>
          <w:lang w:val="en-NZ"/>
        </w:rPr>
      </w:pPr>
    </w:p>
    <w:p w14:paraId="6DDC1D79" w14:textId="77777777" w:rsidR="005224A6" w:rsidRDefault="005224A6" w:rsidP="0035604E">
      <w:pPr>
        <w:rPr>
          <w:lang w:val="en-NZ"/>
        </w:rPr>
      </w:pPr>
    </w:p>
    <w:p w14:paraId="7A624FE0" w14:textId="77777777" w:rsidR="005224A6" w:rsidRDefault="005224A6" w:rsidP="0035604E">
      <w:pPr>
        <w:rPr>
          <w:lang w:val="en-NZ"/>
        </w:rPr>
      </w:pPr>
    </w:p>
    <w:p w14:paraId="7EE62CA7" w14:textId="77777777" w:rsidR="005224A6" w:rsidRDefault="005224A6" w:rsidP="0035604E">
      <w:pPr>
        <w:rPr>
          <w:lang w:val="en-NZ"/>
        </w:rPr>
      </w:pPr>
    </w:p>
    <w:p w14:paraId="01B81B1B" w14:textId="77777777" w:rsidR="005224A6" w:rsidRDefault="005224A6" w:rsidP="0035604E">
      <w:pPr>
        <w:rPr>
          <w:lang w:val="en-NZ"/>
        </w:rPr>
      </w:pPr>
    </w:p>
    <w:p w14:paraId="566AFF0C" w14:textId="77777777" w:rsidR="005224A6" w:rsidRDefault="005224A6" w:rsidP="0035604E">
      <w:pPr>
        <w:rPr>
          <w:lang w:val="en-NZ"/>
        </w:rPr>
      </w:pPr>
    </w:p>
    <w:p w14:paraId="1CB6B508" w14:textId="18A93E3D" w:rsidR="0035604E" w:rsidRDefault="0035604E" w:rsidP="00333913">
      <w:pPr>
        <w:pStyle w:val="Heading1"/>
        <w:numPr>
          <w:ilvl w:val="0"/>
          <w:numId w:val="2"/>
        </w:numPr>
      </w:pPr>
      <w:r>
        <w:t>Results</w:t>
      </w:r>
    </w:p>
    <w:p w14:paraId="59697602" w14:textId="572F0AEC" w:rsidR="004D5EB7" w:rsidRDefault="003F1CF4">
      <w:pPr>
        <w:rPr>
          <w:lang w:val="en-NZ"/>
        </w:rPr>
      </w:pPr>
      <w:r>
        <w:rPr>
          <w:lang w:val="en-NZ"/>
        </w:rPr>
        <w:t xml:space="preserve">Using the measuring tool in LTspice, 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V</m:t>
            </m:r>
          </m:e>
          <m:sub>
            <m:r>
              <w:rPr>
                <w:rFonts w:ascii="Cambria Math" w:hAnsi="Cambria Math"/>
                <w:lang w:val="en-NZ"/>
              </w:rPr>
              <m:t>ds</m:t>
            </m:r>
          </m:sub>
        </m:sSub>
      </m:oMath>
      <w:r w:rsidR="003B5E28">
        <w:rPr>
          <w:lang w:val="en-NZ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V</m:t>
            </m:r>
          </m:e>
          <m:sub>
            <m:r>
              <w:rPr>
                <w:rFonts w:ascii="Cambria Math" w:hAnsi="Cambria Math"/>
                <w:lang w:val="en-NZ"/>
              </w:rPr>
              <m:t>gs</m:t>
            </m:r>
          </m:sub>
        </m:sSub>
      </m:oMath>
      <w:r w:rsidR="003B5E28">
        <w:rPr>
          <w:lang w:val="en-NZ"/>
        </w:rPr>
        <w:t xml:space="preserve"> for the switching MOSFET were recorded and are shown in Figure 2 and 3 respectively.</w:t>
      </w:r>
    </w:p>
    <w:p w14:paraId="6D7ABA57" w14:textId="2ADD8BF0" w:rsidR="003B5E28" w:rsidRDefault="003B5E28"/>
    <w:p w14:paraId="5314A1EF" w14:textId="233B2136" w:rsidR="210A6F02" w:rsidRDefault="210A6F02"/>
    <w:p w14:paraId="314DB800" w14:textId="43BA46A4" w:rsidR="6CA6D030" w:rsidRDefault="1DC1EEA0">
      <w:r>
        <w:rPr>
          <w:noProof/>
        </w:rPr>
        <w:drawing>
          <wp:inline distT="0" distB="0" distL="0" distR="0" wp14:anchorId="71888A1D" wp14:editId="0DD14A3F">
            <wp:extent cx="5724525" cy="2533650"/>
            <wp:effectExtent l="0" t="0" r="0" b="0"/>
            <wp:docPr id="15537460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4600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CC266" w14:textId="2E9F1BD7" w:rsidR="003B5E28" w:rsidRDefault="003B5E28" w:rsidP="003B5E28">
      <w:pPr>
        <w:jc w:val="center"/>
        <w:rPr>
          <w:lang w:val="en-NZ"/>
        </w:rPr>
      </w:pPr>
      <w:r>
        <w:rPr>
          <w:lang w:val="en-NZ"/>
        </w:rPr>
        <w:t xml:space="preserve">Figure 2: 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V</m:t>
            </m:r>
          </m:e>
          <m:sub>
            <m:r>
              <w:rPr>
                <w:rFonts w:ascii="Cambria Math" w:hAnsi="Cambria Math"/>
                <w:lang w:val="en-NZ"/>
              </w:rPr>
              <m:t>ds</m:t>
            </m:r>
          </m:sub>
        </m:sSub>
      </m:oMath>
    </w:p>
    <w:p w14:paraId="1E0AC2C8" w14:textId="4BC80F48" w:rsidR="4B049CAE" w:rsidRDefault="4B049CAE">
      <w:pPr>
        <w:rPr>
          <w:lang w:val="en-NZ"/>
        </w:rPr>
      </w:pPr>
    </w:p>
    <w:p w14:paraId="29CBCFC0" w14:textId="77777777" w:rsidR="005224A6" w:rsidRDefault="005224A6"/>
    <w:p w14:paraId="5022F03F" w14:textId="6AA9CE42" w:rsidR="59891F6B" w:rsidRDefault="59891F6B"/>
    <w:p w14:paraId="15CC3C59" w14:textId="65700BA2" w:rsidR="07F933FA" w:rsidRDefault="19EB8823">
      <w:r>
        <w:rPr>
          <w:noProof/>
        </w:rPr>
        <w:drawing>
          <wp:inline distT="0" distB="0" distL="0" distR="0" wp14:anchorId="2DC84870" wp14:editId="394C96CD">
            <wp:extent cx="5724525" cy="2533650"/>
            <wp:effectExtent l="0" t="0" r="0" b="0"/>
            <wp:docPr id="7566795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795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A12B6" w14:textId="5E98DC20" w:rsidR="004D5EB7" w:rsidRDefault="003B5E28" w:rsidP="003B5E28">
      <w:pPr>
        <w:jc w:val="center"/>
        <w:rPr>
          <w:lang w:val="en-NZ"/>
        </w:rPr>
      </w:pPr>
      <w:r>
        <w:rPr>
          <w:lang w:val="en-NZ"/>
        </w:rPr>
        <w:t xml:space="preserve">Figure 3: 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V</m:t>
            </m:r>
          </m:e>
          <m:sub>
            <m:r>
              <w:rPr>
                <w:rFonts w:ascii="Cambria Math" w:hAnsi="Cambria Math"/>
                <w:lang w:val="en-NZ"/>
              </w:rPr>
              <m:t>gs</m:t>
            </m:r>
          </m:sub>
        </m:sSub>
      </m:oMath>
    </w:p>
    <w:p w14:paraId="5CE9C73D" w14:textId="77777777" w:rsidR="00746695" w:rsidRDefault="00746695">
      <w:pPr>
        <w:rPr>
          <w:lang w:val="en-NZ"/>
        </w:rPr>
      </w:pPr>
    </w:p>
    <w:p w14:paraId="09A25D8F" w14:textId="1A05CAA4" w:rsidR="494A9452" w:rsidRPr="005224A6" w:rsidRDefault="003B5E28">
      <w:pPr>
        <w:rPr>
          <w:lang w:val="en-NZ"/>
        </w:rPr>
      </w:pPr>
      <w:r>
        <w:rPr>
          <w:lang w:val="en-NZ"/>
        </w:rPr>
        <w:t>The inductor current</w:t>
      </w:r>
      <w:r w:rsidR="00A50C66">
        <w:rPr>
          <w:lang w:val="en-NZ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i</m:t>
            </m:r>
          </m:e>
          <m:sub>
            <m:r>
              <w:rPr>
                <w:rFonts w:ascii="Cambria Math" w:hAnsi="Cambria Math"/>
                <w:lang w:val="en-NZ"/>
              </w:rPr>
              <m:t>L</m:t>
            </m:r>
          </m:sub>
        </m:sSub>
        <m:r>
          <w:rPr>
            <w:rFonts w:ascii="Cambria Math" w:hAnsi="Cambria Math"/>
            <w:lang w:val="en-NZ"/>
          </w:rPr>
          <m:t xml:space="preserve">, </m:t>
        </m:r>
      </m:oMath>
      <w:r>
        <w:rPr>
          <w:lang w:val="en-NZ"/>
        </w:rPr>
        <w:t xml:space="preserve">and output </w:t>
      </w:r>
      <w:r w:rsidR="00D44AD5">
        <w:rPr>
          <w:lang w:val="en-NZ"/>
        </w:rPr>
        <w:t xml:space="preserve">voltage, 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V</m:t>
            </m:r>
          </m:e>
          <m:sub>
            <m:r>
              <w:rPr>
                <w:rFonts w:ascii="Cambria Math" w:hAnsi="Cambria Math"/>
                <w:lang w:val="en-NZ"/>
              </w:rPr>
              <m:t>O</m:t>
            </m:r>
          </m:sub>
        </m:sSub>
      </m:oMath>
      <w:r w:rsidR="00D44AD5">
        <w:rPr>
          <w:lang w:val="en-NZ"/>
        </w:rPr>
        <w:t xml:space="preserve">, </w:t>
      </w:r>
      <w:r>
        <w:rPr>
          <w:lang w:val="en-NZ"/>
        </w:rPr>
        <w:t xml:space="preserve">were measured and </w:t>
      </w:r>
      <w:r w:rsidR="00A50C66">
        <w:rPr>
          <w:lang w:val="en-NZ"/>
        </w:rPr>
        <w:t>are shown in Figures 4 and 5, respectively.</w:t>
      </w:r>
    </w:p>
    <w:p w14:paraId="6377E2FF" w14:textId="196C7497" w:rsidR="059DA166" w:rsidRDefault="059DA166"/>
    <w:p w14:paraId="776A1B3B" w14:textId="53775AFB" w:rsidR="6B8BFD60" w:rsidRDefault="6B8BFD60">
      <w:r>
        <w:rPr>
          <w:noProof/>
        </w:rPr>
        <w:drawing>
          <wp:inline distT="0" distB="0" distL="0" distR="0" wp14:anchorId="11F6A9F8" wp14:editId="1F5129BF">
            <wp:extent cx="5724525" cy="2533650"/>
            <wp:effectExtent l="0" t="0" r="0" b="0"/>
            <wp:docPr id="84986222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6222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7B734" w14:textId="3E347735" w:rsidR="00A50C66" w:rsidRDefault="00A50C66" w:rsidP="00A50C66">
      <w:pPr>
        <w:jc w:val="center"/>
        <w:rPr>
          <w:lang w:val="en-NZ"/>
        </w:rPr>
      </w:pPr>
      <w:r>
        <w:rPr>
          <w:lang w:val="en-NZ"/>
        </w:rPr>
        <w:t>Figure 4</w:t>
      </w:r>
      <w:r w:rsidR="00E837CA">
        <w:rPr>
          <w:lang w:val="en-NZ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i</m:t>
            </m:r>
          </m:e>
          <m:sub>
            <m:r>
              <w:rPr>
                <w:rFonts w:ascii="Cambria Math" w:hAnsi="Cambria Math"/>
                <w:lang w:val="en-NZ"/>
              </w:rPr>
              <m:t>L</m:t>
            </m:r>
          </m:sub>
        </m:sSub>
      </m:oMath>
    </w:p>
    <w:p w14:paraId="65FFFF0A" w14:textId="54AA10BC" w:rsidR="00E837CA" w:rsidRDefault="00E837CA" w:rsidP="00A50C66">
      <w:pPr>
        <w:jc w:val="center"/>
      </w:pPr>
    </w:p>
    <w:p w14:paraId="42246C6F" w14:textId="72646B9D" w:rsidR="570164F8" w:rsidRDefault="570164F8" w:rsidP="677D7D4A">
      <w:pPr>
        <w:jc w:val="center"/>
      </w:pPr>
    </w:p>
    <w:p w14:paraId="723909BB" w14:textId="75FCC24F" w:rsidR="576C87CF" w:rsidRDefault="576C87CF" w:rsidP="0CB1ACCF">
      <w:pPr>
        <w:jc w:val="center"/>
      </w:pPr>
      <w:r>
        <w:rPr>
          <w:noProof/>
        </w:rPr>
        <w:drawing>
          <wp:inline distT="0" distB="0" distL="0" distR="0" wp14:anchorId="55CCF2E6" wp14:editId="5230C447">
            <wp:extent cx="5724525" cy="2533650"/>
            <wp:effectExtent l="0" t="0" r="0" b="0"/>
            <wp:docPr id="129431154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31154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1418D" w14:textId="6189866C" w:rsidR="00E837CA" w:rsidRDefault="00E837CA" w:rsidP="00A50C66">
      <w:pPr>
        <w:jc w:val="center"/>
        <w:rPr>
          <w:lang w:val="en-NZ"/>
        </w:rPr>
      </w:pPr>
      <w:r>
        <w:rPr>
          <w:lang w:val="en-NZ"/>
        </w:rPr>
        <w:t xml:space="preserve">Figure 5: 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V</m:t>
            </m:r>
          </m:e>
          <m:sub>
            <m:r>
              <w:rPr>
                <w:rFonts w:ascii="Cambria Math" w:hAnsi="Cambria Math"/>
                <w:lang w:val="en-NZ"/>
              </w:rPr>
              <m:t>O</m:t>
            </m:r>
          </m:sub>
        </m:sSub>
      </m:oMath>
    </w:p>
    <w:p w14:paraId="34EF7C49" w14:textId="77777777" w:rsidR="002C0013" w:rsidRDefault="002C0013" w:rsidP="00AC239C">
      <w:pPr>
        <w:rPr>
          <w:lang w:val="en-NZ"/>
        </w:rPr>
      </w:pPr>
    </w:p>
    <w:p w14:paraId="5DED71FB" w14:textId="77777777" w:rsidR="002C0013" w:rsidRDefault="002C0013" w:rsidP="00AC239C">
      <w:pPr>
        <w:rPr>
          <w:lang w:val="en-NZ"/>
        </w:rPr>
      </w:pPr>
    </w:p>
    <w:p w14:paraId="555D868C" w14:textId="77777777" w:rsidR="002C0013" w:rsidRDefault="002C0013" w:rsidP="00AC239C">
      <w:pPr>
        <w:rPr>
          <w:lang w:val="en-NZ"/>
        </w:rPr>
      </w:pPr>
    </w:p>
    <w:p w14:paraId="0394F6F7" w14:textId="77777777" w:rsidR="00A20F9E" w:rsidRDefault="00A20F9E" w:rsidP="00AC239C">
      <w:pPr>
        <w:rPr>
          <w:lang w:val="en-NZ"/>
        </w:rPr>
      </w:pPr>
    </w:p>
    <w:p w14:paraId="334B681F" w14:textId="77777777" w:rsidR="00A20F9E" w:rsidRDefault="00A20F9E" w:rsidP="00AC239C">
      <w:pPr>
        <w:rPr>
          <w:lang w:val="en-NZ"/>
        </w:rPr>
      </w:pPr>
    </w:p>
    <w:p w14:paraId="07C2D06D" w14:textId="77777777" w:rsidR="00A20F9E" w:rsidRPr="00AC239C" w:rsidRDefault="00A20F9E" w:rsidP="00AC239C">
      <w:pPr>
        <w:rPr>
          <w:lang w:val="en-NZ"/>
        </w:rPr>
      </w:pPr>
    </w:p>
    <w:p w14:paraId="3DD04559" w14:textId="77777777" w:rsidR="004D5EB7" w:rsidRDefault="004D5EB7" w:rsidP="00333913">
      <w:pPr>
        <w:pStyle w:val="Heading1"/>
        <w:numPr>
          <w:ilvl w:val="0"/>
          <w:numId w:val="2"/>
        </w:numPr>
      </w:pPr>
      <w:r>
        <w:t>Discussion</w:t>
      </w:r>
    </w:p>
    <w:p w14:paraId="0E0B2B41" w14:textId="209084BA" w:rsidR="007A6048" w:rsidRDefault="004D5EB7" w:rsidP="004D5EB7">
      <w:pPr>
        <w:rPr>
          <w:lang w:val="en-NZ"/>
        </w:rPr>
      </w:pPr>
      <w:r>
        <w:rPr>
          <w:lang w:val="en-NZ"/>
        </w:rPr>
        <w:t xml:space="preserve">Once the buck converter setup was completed, the TL494 was connected and the values of 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C</m:t>
            </m:r>
          </m:e>
          <m:sub>
            <m:r>
              <w:rPr>
                <w:rFonts w:ascii="Cambria Math" w:hAnsi="Cambria Math"/>
                <w:lang w:val="en-NZ"/>
              </w:rPr>
              <m:t>T</m:t>
            </m:r>
          </m:sub>
        </m:sSub>
      </m:oMath>
      <w:r>
        <w:rPr>
          <w:lang w:val="en-NZ"/>
        </w:rPr>
        <w:t xml:space="preserve"> and</w:t>
      </w:r>
      <m:oMath>
        <m:r>
          <w:rPr>
            <w:rFonts w:ascii="Cambria Math" w:hAnsi="Cambria Math"/>
            <w:lang w:val="en-N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R</m:t>
            </m:r>
          </m:e>
          <m:sub>
            <m:r>
              <w:rPr>
                <w:rFonts w:ascii="Cambria Math" w:hAnsi="Cambria Math"/>
                <w:lang w:val="en-NZ"/>
              </w:rPr>
              <m:t>T</m:t>
            </m:r>
          </m:sub>
        </m:sSub>
      </m:oMath>
      <w:r>
        <w:rPr>
          <w:lang w:val="en-NZ"/>
        </w:rPr>
        <w:t xml:space="preserve"> were chosen to be </w:t>
      </w:r>
      <m:oMath>
        <m:r>
          <w:rPr>
            <w:rFonts w:ascii="Cambria Math" w:hAnsi="Cambria Math"/>
            <w:lang w:val="en-NZ"/>
          </w:rPr>
          <m:t>10nF</m:t>
        </m:r>
      </m:oMath>
      <w:r>
        <w:rPr>
          <w:lang w:val="en-NZ"/>
        </w:rPr>
        <w:t xml:space="preserve"> and </w:t>
      </w:r>
      <m:oMath>
        <m:r>
          <w:rPr>
            <w:rFonts w:ascii="Cambria Math" w:hAnsi="Cambria Math"/>
            <w:lang w:val="en-NZ"/>
          </w:rPr>
          <m:t xml:space="preserve">2.2kΩ </m:t>
        </m:r>
      </m:oMath>
      <w:r w:rsidR="001D76B3">
        <w:rPr>
          <w:lang w:val="en-NZ"/>
        </w:rPr>
        <w:t xml:space="preserve">to </w:t>
      </w:r>
      <w:r>
        <w:rPr>
          <w:lang w:val="en-NZ"/>
        </w:rPr>
        <w:t xml:space="preserve">set the switching frequency, 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f</m:t>
            </m:r>
          </m:e>
          <m:sub>
            <m:r>
              <w:rPr>
                <w:rFonts w:ascii="Cambria Math" w:hAnsi="Cambria Math"/>
                <w:lang w:val="en-NZ"/>
              </w:rPr>
              <m:t>s</m:t>
            </m:r>
          </m:sub>
        </m:sSub>
      </m:oMath>
      <w:r>
        <w:rPr>
          <w:lang w:val="en-NZ"/>
        </w:rPr>
        <w:t xml:space="preserve">, to be </w:t>
      </w:r>
      <w:r w:rsidR="0A0586D0">
        <w:rPr>
          <w:lang w:val="en-NZ"/>
        </w:rPr>
        <w:t>approximately</w:t>
      </w:r>
      <w:r>
        <w:rPr>
          <w:lang w:val="en-NZ"/>
        </w:rPr>
        <w:t xml:space="preserve"> </w:t>
      </w:r>
      <m:oMath>
        <m:r>
          <w:rPr>
            <w:rFonts w:ascii="Cambria Math" w:hAnsi="Cambria Math"/>
            <w:lang w:val="en-NZ"/>
          </w:rPr>
          <m:t>50kHz</m:t>
        </m:r>
      </m:oMath>
      <w:r>
        <w:rPr>
          <w:lang w:val="en-NZ"/>
        </w:rPr>
        <w:t>.</w:t>
      </w:r>
    </w:p>
    <w:p w14:paraId="5A0D88B0" w14:textId="713DA14C" w:rsidR="003F1CF4" w:rsidRDefault="00CD659A" w:rsidP="004D5EB7">
      <w:pPr>
        <w:rPr>
          <w:lang w:val="en-NZ"/>
        </w:rPr>
      </w:pPr>
      <w:r>
        <w:rPr>
          <w:lang w:val="en-NZ"/>
        </w:rPr>
        <w:t>I</w:t>
      </w:r>
      <w:r w:rsidR="003F1CF4">
        <w:rPr>
          <w:lang w:val="en-NZ"/>
        </w:rPr>
        <w:t>nput capacitors</w:t>
      </w:r>
      <w:r>
        <w:rPr>
          <w:lang w:val="en-NZ"/>
        </w:rPr>
        <w:t xml:space="preserve"> C4 and C5 were added </w:t>
      </w:r>
      <w:r w:rsidR="00A645AA">
        <w:rPr>
          <w:lang w:val="en-NZ"/>
        </w:rPr>
        <w:t xml:space="preserve">to mitigate noise from the solar panel. However, these could not be tested in the </w:t>
      </w:r>
      <w:r w:rsidR="003F1CF4">
        <w:rPr>
          <w:lang w:val="en-NZ"/>
        </w:rPr>
        <w:t xml:space="preserve">simulation as the solar panel was modelled with a constant </w:t>
      </w:r>
      <m:oMath>
        <m:r>
          <w:rPr>
            <w:rFonts w:ascii="Cambria Math" w:hAnsi="Cambria Math"/>
            <w:lang w:val="en-NZ"/>
          </w:rPr>
          <m:t>15V</m:t>
        </m:r>
      </m:oMath>
      <w:r w:rsidR="001D76B3">
        <w:rPr>
          <w:lang w:val="en-NZ"/>
        </w:rPr>
        <w:t xml:space="preserve"> </w:t>
      </w:r>
      <w:r w:rsidR="003F1CF4">
        <w:rPr>
          <w:lang w:val="en-NZ"/>
        </w:rPr>
        <w:t>source.</w:t>
      </w:r>
    </w:p>
    <w:p w14:paraId="7A013AB9" w14:textId="74F54DD2" w:rsidR="004D5EB7" w:rsidRDefault="004D5EB7" w:rsidP="004D5EB7">
      <w:pPr>
        <w:rPr>
          <w:lang w:val="en-NZ"/>
        </w:rPr>
      </w:pPr>
      <w:r>
        <w:rPr>
          <w:lang w:val="en-NZ"/>
        </w:rPr>
        <w:t xml:space="preserve">It was determined that the </w:t>
      </w:r>
      <w:r w:rsidR="003254AD">
        <w:rPr>
          <w:lang w:val="en-NZ"/>
        </w:rPr>
        <w:t xml:space="preserve">PWM signal </w:t>
      </w:r>
      <w:r w:rsidR="00B92352">
        <w:rPr>
          <w:lang w:val="en-NZ"/>
        </w:rPr>
        <w:t xml:space="preserve">voltage </w:t>
      </w:r>
      <w:r>
        <w:rPr>
          <w:lang w:val="en-NZ"/>
        </w:rPr>
        <w:t>from pin</w:t>
      </w:r>
      <w:r w:rsidR="003254AD">
        <w:rPr>
          <w:lang w:val="en-NZ"/>
        </w:rPr>
        <w:t xml:space="preserve"> E8 </w:t>
      </w:r>
      <w:r w:rsidR="00746695">
        <w:rPr>
          <w:lang w:val="en-NZ"/>
        </w:rPr>
        <w:t xml:space="preserve">wasn’t large enough to fully turn the low-side MOSFET controlling the buck converter. </w:t>
      </w:r>
      <w:r w:rsidR="007A6048">
        <w:rPr>
          <w:lang w:val="en-NZ"/>
        </w:rPr>
        <w:t xml:space="preserve">To solve this, the signal </w:t>
      </w:r>
      <w:r w:rsidR="00746695">
        <w:rPr>
          <w:lang w:val="en-NZ"/>
        </w:rPr>
        <w:t xml:space="preserve">was fed into a </w:t>
      </w:r>
      <w:r w:rsidR="003254AD">
        <w:rPr>
          <w:lang w:val="en-NZ"/>
        </w:rPr>
        <w:t xml:space="preserve">BJT driver, which utilizes </w:t>
      </w:r>
      <w:r w:rsidR="007A6048">
        <w:rPr>
          <w:lang w:val="en-NZ"/>
        </w:rPr>
        <w:t>NPN</w:t>
      </w:r>
      <w:r w:rsidR="002B475C">
        <w:rPr>
          <w:lang w:val="en-NZ"/>
        </w:rPr>
        <w:t xml:space="preserve"> and </w:t>
      </w:r>
      <w:r w:rsidR="007A6048">
        <w:rPr>
          <w:lang w:val="en-NZ"/>
        </w:rPr>
        <w:t>PNP</w:t>
      </w:r>
      <w:r w:rsidR="00626762">
        <w:rPr>
          <w:lang w:val="en-NZ"/>
        </w:rPr>
        <w:t xml:space="preserve"> transistors</w:t>
      </w:r>
      <w:r w:rsidR="007A6048">
        <w:rPr>
          <w:lang w:val="en-NZ"/>
        </w:rPr>
        <w:t xml:space="preserve"> </w:t>
      </w:r>
      <w:r w:rsidR="000E2308">
        <w:rPr>
          <w:lang w:val="en-NZ"/>
        </w:rPr>
        <w:t xml:space="preserve">to amplify the voltage to sufficiently saturate </w:t>
      </w:r>
      <w:r w:rsidR="002B475C">
        <w:rPr>
          <w:lang w:val="en-NZ"/>
        </w:rPr>
        <w:t>the</w:t>
      </w:r>
      <w:r w:rsidR="00626762">
        <w:rPr>
          <w:lang w:val="en-NZ"/>
        </w:rPr>
        <w:t xml:space="preserve"> MOSFET.</w:t>
      </w:r>
    </w:p>
    <w:p w14:paraId="1F2212FD" w14:textId="2CF1E962" w:rsidR="0035604E" w:rsidRDefault="00A50C66" w:rsidP="0035604E">
      <w:pPr>
        <w:rPr>
          <w:lang w:val="en-NZ"/>
        </w:rPr>
      </w:pPr>
      <w:r>
        <w:rPr>
          <w:lang w:val="en-NZ"/>
        </w:rPr>
        <w:t>As see</w:t>
      </w:r>
      <w:r w:rsidR="00081841">
        <w:rPr>
          <w:lang w:val="en-NZ"/>
        </w:rPr>
        <w:t>n</w:t>
      </w:r>
      <w:r>
        <w:rPr>
          <w:lang w:val="en-NZ"/>
        </w:rPr>
        <w:t xml:space="preserve"> from Figure 4, </w:t>
      </w:r>
      <m:oMath>
        <m:r>
          <w:rPr>
            <w:rFonts w:ascii="Cambria Math" w:hAnsi="Cambria Math"/>
            <w:lang w:val="en-NZ"/>
          </w:rPr>
          <m:t>∆</m:t>
        </m:r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i</m:t>
            </m:r>
          </m:e>
          <m:sub>
            <m:r>
              <w:rPr>
                <w:rFonts w:ascii="Cambria Math" w:hAnsi="Cambria Math"/>
                <w:lang w:val="en-NZ"/>
              </w:rPr>
              <m:t>L</m:t>
            </m:r>
          </m:sub>
        </m:sSub>
      </m:oMath>
      <w:r w:rsidR="00081841">
        <w:rPr>
          <w:lang w:val="en-NZ"/>
        </w:rPr>
        <w:t xml:space="preserve"> is roughly </w:t>
      </w:r>
      <m:oMath>
        <m:r>
          <w:rPr>
            <w:rFonts w:ascii="Cambria Math" w:hAnsi="Cambria Math"/>
            <w:lang w:val="en-NZ"/>
          </w:rPr>
          <m:t>0.83A</m:t>
        </m:r>
      </m:oMath>
      <w:r w:rsidR="00081841">
        <w:rPr>
          <w:lang w:val="en-NZ"/>
        </w:rPr>
        <w:t xml:space="preserve"> which is </w:t>
      </w:r>
      <w:r w:rsidR="00DC1269">
        <w:rPr>
          <w:lang w:val="en-NZ"/>
        </w:rPr>
        <w:t>slightly above</w:t>
      </w:r>
      <w:r w:rsidR="00081841">
        <w:rPr>
          <w:lang w:val="en-NZ"/>
        </w:rPr>
        <w:t xml:space="preserve"> </w:t>
      </w:r>
      <m:oMath>
        <m:r>
          <w:rPr>
            <w:rFonts w:ascii="Cambria Math" w:hAnsi="Cambria Math"/>
            <w:lang w:val="en-NZ"/>
          </w:rPr>
          <m:t>0.75A</m:t>
        </m:r>
      </m:oMath>
      <w:r w:rsidR="00AF4208">
        <w:rPr>
          <w:lang w:val="en-NZ"/>
        </w:rPr>
        <w:t xml:space="preserve"> (</w:t>
      </w:r>
      <w:r w:rsidR="004A695B">
        <w:rPr>
          <w:lang w:val="en-NZ"/>
        </w:rPr>
        <w:t>30% of the output current</w:t>
      </w:r>
      <w:r w:rsidR="00AF4208">
        <w:rPr>
          <w:lang w:val="en-NZ"/>
        </w:rPr>
        <w:t>)</w:t>
      </w:r>
      <w:r w:rsidR="004A695B">
        <w:rPr>
          <w:lang w:val="en-NZ"/>
        </w:rPr>
        <w:t>,</w:t>
      </w:r>
      <w:r w:rsidR="00677735">
        <w:rPr>
          <w:lang w:val="en-NZ"/>
        </w:rPr>
        <w:t xml:space="preserve"> not meeting the threshold </w:t>
      </w:r>
      <w:r w:rsidR="00E837CA">
        <w:rPr>
          <w:lang w:val="en-NZ"/>
        </w:rPr>
        <w:t>specified in equation (2).</w:t>
      </w:r>
      <w:r w:rsidR="00677735">
        <w:rPr>
          <w:lang w:val="en-NZ"/>
        </w:rPr>
        <w:t xml:space="preserve"> This is likely due to assumptions made in</w:t>
      </w:r>
      <w:r w:rsidR="00AC239C">
        <w:rPr>
          <w:lang w:val="en-NZ"/>
        </w:rPr>
        <w:t xml:space="preserve"> </w:t>
      </w:r>
      <w:r w:rsidR="001E268F">
        <w:rPr>
          <w:lang w:val="en-NZ"/>
        </w:rPr>
        <w:t>the derivations</w:t>
      </w:r>
      <w:r w:rsidR="00AC239C">
        <w:rPr>
          <w:lang w:val="en-NZ"/>
        </w:rPr>
        <w:t xml:space="preserve"> and can be fine-tuned when the physical circuit is constructed.</w:t>
      </w:r>
    </w:p>
    <w:p w14:paraId="7B4628F2" w14:textId="45773242" w:rsidR="007A6CD6" w:rsidRDefault="007B0C14" w:rsidP="000C2356">
      <w:pPr>
        <w:rPr>
          <w:lang w:val="en-NZ"/>
        </w:rPr>
      </w:pPr>
      <w:r w:rsidRPr="000C2356">
        <w:rPr>
          <w:lang w:val="en-NZ"/>
        </w:rPr>
        <w:t>The MOSF</w:t>
      </w:r>
      <w:r w:rsidR="007A6CD6">
        <w:rPr>
          <w:lang w:val="en-NZ"/>
        </w:rPr>
        <w:t>ET</w:t>
      </w:r>
      <w:r w:rsidRPr="000C2356">
        <w:rPr>
          <w:lang w:val="en-NZ"/>
        </w:rPr>
        <w:t xml:space="preserve"> </w:t>
      </w:r>
      <w:r w:rsidR="007A6CD6">
        <w:rPr>
          <w:lang w:val="en-NZ"/>
        </w:rPr>
        <w:t xml:space="preserve">drain-source </w:t>
      </w:r>
      <w:r w:rsidRPr="000C2356">
        <w:rPr>
          <w:lang w:val="en-NZ"/>
        </w:rPr>
        <w:t xml:space="preserve">voltage </w:t>
      </w:r>
      <w:r w:rsidR="007A6CD6">
        <w:rPr>
          <w:lang w:val="en-NZ"/>
        </w:rPr>
        <w:t>(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V</m:t>
            </m:r>
          </m:e>
          <m:sub>
            <m:r>
              <w:rPr>
                <w:rFonts w:ascii="Cambria Math" w:hAnsi="Cambria Math"/>
                <w:lang w:val="en-NZ"/>
              </w:rPr>
              <m:t>ds</m:t>
            </m:r>
          </m:sub>
        </m:sSub>
      </m:oMath>
      <w:r w:rsidR="007A6CD6">
        <w:rPr>
          <w:lang w:val="en-NZ"/>
        </w:rPr>
        <w:t xml:space="preserve">) </w:t>
      </w:r>
      <w:r w:rsidR="000324A7">
        <w:rPr>
          <w:lang w:val="en-NZ"/>
        </w:rPr>
        <w:t>and gate-source voltage (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V</m:t>
            </m:r>
          </m:e>
          <m:sub>
            <m:r>
              <w:rPr>
                <w:rFonts w:ascii="Cambria Math" w:hAnsi="Cambria Math"/>
                <w:lang w:val="en-NZ"/>
              </w:rPr>
              <m:t>gs</m:t>
            </m:r>
          </m:sub>
        </m:sSub>
      </m:oMath>
      <w:r w:rsidR="003D6AB8">
        <w:rPr>
          <w:lang w:val="en-NZ"/>
        </w:rPr>
        <w:t>)</w:t>
      </w:r>
      <w:r w:rsidR="000324A7">
        <w:rPr>
          <w:lang w:val="en-NZ"/>
        </w:rPr>
        <w:t xml:space="preserve"> </w:t>
      </w:r>
      <w:r w:rsidR="0035790D">
        <w:rPr>
          <w:lang w:val="en-NZ"/>
        </w:rPr>
        <w:t>follow</w:t>
      </w:r>
      <w:r w:rsidR="007A6CD6">
        <w:rPr>
          <w:lang w:val="en-NZ"/>
        </w:rPr>
        <w:t xml:space="preserve"> the </w:t>
      </w:r>
      <m:oMath>
        <m:r>
          <w:rPr>
            <w:rFonts w:ascii="Cambria Math" w:hAnsi="Cambria Math"/>
            <w:lang w:val="en-NZ"/>
          </w:rPr>
          <m:t>50%</m:t>
        </m:r>
      </m:oMath>
      <w:r w:rsidR="007A6CD6">
        <w:rPr>
          <w:lang w:val="en-NZ"/>
        </w:rPr>
        <w:t xml:space="preserve"> </w:t>
      </w:r>
      <w:r w:rsidR="00FE60FA">
        <w:rPr>
          <w:lang w:val="en-NZ"/>
        </w:rPr>
        <w:t>PWM duty cycle.</w:t>
      </w:r>
      <w:r w:rsidR="00324CA9">
        <w:rPr>
          <w:lang w:val="en-NZ"/>
        </w:rPr>
        <w:t xml:space="preserve"> </w:t>
      </w:r>
      <w:r w:rsidR="006304F0">
        <w:rPr>
          <w:lang w:val="en-NZ"/>
        </w:rPr>
        <w:t>At</w:t>
      </w:r>
      <w:r w:rsidR="00637D1F">
        <w:rPr>
          <w:lang w:val="en-NZ"/>
        </w:rPr>
        <w:t xml:space="preserve"> the start 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V</m:t>
            </m:r>
          </m:e>
          <m:sub>
            <m:r>
              <w:rPr>
                <w:rFonts w:ascii="Cambria Math" w:hAnsi="Cambria Math"/>
                <w:lang w:val="en-NZ"/>
              </w:rPr>
              <m:t>ds</m:t>
            </m:r>
          </m:sub>
        </m:sSub>
      </m:oMath>
      <w:r w:rsidR="004A021D">
        <w:rPr>
          <w:lang w:val="en-NZ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NZ"/>
              </w:rPr>
            </m:ctrlPr>
          </m:sSubPr>
          <m:e>
            <m:r>
              <w:rPr>
                <w:rFonts w:ascii="Cambria Math" w:hAnsi="Cambria Math"/>
                <w:lang w:val="en-NZ"/>
              </w:rPr>
              <m:t>V</m:t>
            </m:r>
          </m:e>
          <m:sub>
            <m:r>
              <w:rPr>
                <w:rFonts w:ascii="Cambria Math" w:hAnsi="Cambria Math"/>
                <w:lang w:val="en-NZ"/>
              </w:rPr>
              <m:t>gs</m:t>
            </m:r>
          </m:sub>
        </m:sSub>
      </m:oMath>
      <w:r w:rsidR="004A021D">
        <w:rPr>
          <w:lang w:val="en-NZ"/>
        </w:rPr>
        <w:t xml:space="preserve"> </w:t>
      </w:r>
      <w:r w:rsidR="00267C40">
        <w:rPr>
          <w:lang w:val="en-NZ"/>
        </w:rPr>
        <w:t>ramps up</w:t>
      </w:r>
      <w:r w:rsidR="004A021D">
        <w:rPr>
          <w:lang w:val="en-NZ"/>
        </w:rPr>
        <w:t xml:space="preserve"> to </w:t>
      </w:r>
      <w:r w:rsidR="00267C40">
        <w:rPr>
          <w:lang w:val="en-NZ"/>
        </w:rPr>
        <w:t>its</w:t>
      </w:r>
      <w:r w:rsidR="004A021D">
        <w:rPr>
          <w:lang w:val="en-NZ"/>
        </w:rPr>
        <w:t xml:space="preserve"> fully steady-state amplitude</w:t>
      </w:r>
      <w:r w:rsidR="002C0604">
        <w:rPr>
          <w:lang w:val="en-NZ"/>
        </w:rPr>
        <w:t xml:space="preserve"> </w:t>
      </w:r>
      <w:r w:rsidR="002956FF">
        <w:rPr>
          <w:lang w:val="en-NZ"/>
        </w:rPr>
        <w:t xml:space="preserve">as the inductor and capacitor </w:t>
      </w:r>
      <w:r w:rsidR="00267C40">
        <w:rPr>
          <w:lang w:val="en-NZ"/>
        </w:rPr>
        <w:t xml:space="preserve">charges </w:t>
      </w:r>
      <w:r w:rsidR="00A57B9E">
        <w:rPr>
          <w:lang w:val="en-NZ"/>
        </w:rPr>
        <w:t>(</w:t>
      </w:r>
      <w:r w:rsidR="009B0B6F">
        <w:rPr>
          <w:lang w:val="en-NZ"/>
        </w:rPr>
        <w:t xml:space="preserve">startup </w:t>
      </w:r>
      <w:r w:rsidR="0020649E">
        <w:rPr>
          <w:lang w:val="en-NZ"/>
        </w:rPr>
        <w:t>transient</w:t>
      </w:r>
      <w:r w:rsidR="00A57B9E">
        <w:rPr>
          <w:lang w:val="en-NZ"/>
        </w:rPr>
        <w:t>)</w:t>
      </w:r>
      <w:r w:rsidR="00AD50EB">
        <w:rPr>
          <w:lang w:val="en-NZ"/>
        </w:rPr>
        <w:t>.</w:t>
      </w:r>
    </w:p>
    <w:p w14:paraId="36027B7D" w14:textId="55B83671" w:rsidR="002B59EF" w:rsidRPr="00921D91" w:rsidRDefault="001B4DAE" w:rsidP="00C72177">
      <w:pPr>
        <w:rPr>
          <w:lang w:val="en-NZ"/>
        </w:rPr>
      </w:pPr>
      <w:r>
        <w:rPr>
          <w:lang w:val="en-NZ"/>
        </w:rPr>
        <w:t xml:space="preserve">When the converter turns on for the first time, the </w:t>
      </w:r>
      <w:r w:rsidR="00100E8F">
        <w:rPr>
          <w:lang w:val="en-NZ"/>
        </w:rPr>
        <w:t xml:space="preserve">empty </w:t>
      </w:r>
      <w:r>
        <w:rPr>
          <w:lang w:val="en-NZ"/>
        </w:rPr>
        <w:t xml:space="preserve">output capacitor </w:t>
      </w:r>
      <w:r w:rsidR="00100E8F">
        <w:rPr>
          <w:lang w:val="en-NZ"/>
        </w:rPr>
        <w:t xml:space="preserve">and inductor </w:t>
      </w:r>
      <w:r w:rsidR="00CA36AD">
        <w:rPr>
          <w:lang w:val="en-NZ"/>
        </w:rPr>
        <w:t>causes</w:t>
      </w:r>
      <w:r w:rsidR="00100E8F">
        <w:rPr>
          <w:lang w:val="en-NZ"/>
        </w:rPr>
        <w:t xml:space="preserve"> the</w:t>
      </w:r>
      <w:r w:rsidR="00CA36AD">
        <w:rPr>
          <w:lang w:val="en-NZ"/>
        </w:rPr>
        <w:t xml:space="preserve"> output</w:t>
      </w:r>
      <w:r w:rsidR="00100E8F">
        <w:rPr>
          <w:lang w:val="en-NZ"/>
        </w:rPr>
        <w:t xml:space="preserve"> voltage </w:t>
      </w:r>
      <w:r w:rsidR="009D6367">
        <w:rPr>
          <w:lang w:val="en-NZ"/>
        </w:rPr>
        <w:t>and inductor current</w:t>
      </w:r>
      <w:r w:rsidR="00100E8F">
        <w:rPr>
          <w:lang w:val="en-NZ"/>
        </w:rPr>
        <w:t xml:space="preserve"> </w:t>
      </w:r>
      <w:r w:rsidR="00CA36AD">
        <w:rPr>
          <w:lang w:val="en-NZ"/>
        </w:rPr>
        <w:t xml:space="preserve">to </w:t>
      </w:r>
      <w:r w:rsidR="00100E8F">
        <w:rPr>
          <w:lang w:val="en-NZ"/>
        </w:rPr>
        <w:t xml:space="preserve">jump </w:t>
      </w:r>
      <w:r w:rsidR="0036397D">
        <w:rPr>
          <w:lang w:val="en-NZ"/>
        </w:rPr>
        <w:t xml:space="preserve">and </w:t>
      </w:r>
      <w:r w:rsidR="00CA36AD">
        <w:rPr>
          <w:lang w:val="en-NZ"/>
        </w:rPr>
        <w:t xml:space="preserve">then </w:t>
      </w:r>
      <w:r w:rsidR="00015839">
        <w:rPr>
          <w:lang w:val="en-NZ"/>
        </w:rPr>
        <w:t>oscillate</w:t>
      </w:r>
      <w:r w:rsidR="00305926">
        <w:rPr>
          <w:lang w:val="en-NZ"/>
        </w:rPr>
        <w:t xml:space="preserve"> around </w:t>
      </w:r>
      <m:oMath>
        <m:r>
          <w:rPr>
            <w:rFonts w:ascii="Cambria Math" w:hAnsi="Cambria Math"/>
            <w:lang w:val="en-NZ"/>
          </w:rPr>
          <m:t>~7.5V</m:t>
        </m:r>
      </m:oMath>
      <w:r w:rsidR="000B2C88">
        <w:rPr>
          <w:lang w:val="en-NZ"/>
        </w:rPr>
        <w:t xml:space="preserve"> and </w:t>
      </w:r>
      <m:oMath>
        <m:r>
          <w:rPr>
            <w:rFonts w:ascii="Cambria Math" w:hAnsi="Cambria Math"/>
            <w:lang w:val="en-NZ"/>
          </w:rPr>
          <m:t>~2.5A</m:t>
        </m:r>
      </m:oMath>
      <w:r w:rsidR="002B47E0">
        <w:rPr>
          <w:lang w:val="en-NZ"/>
        </w:rPr>
        <w:t>,</w:t>
      </w:r>
      <w:r w:rsidR="000B2C88">
        <w:rPr>
          <w:lang w:val="en-NZ"/>
        </w:rPr>
        <w:t xml:space="preserve"> respectively</w:t>
      </w:r>
      <w:r w:rsidR="001B0E5D">
        <w:rPr>
          <w:lang w:val="en-NZ"/>
        </w:rPr>
        <w:t xml:space="preserve">, </w:t>
      </w:r>
      <w:r w:rsidR="000F7EF6">
        <w:rPr>
          <w:lang w:val="en-NZ"/>
        </w:rPr>
        <w:t xml:space="preserve">as seen </w:t>
      </w:r>
      <w:r w:rsidR="00AE4992">
        <w:rPr>
          <w:lang w:val="en-NZ"/>
        </w:rPr>
        <w:t xml:space="preserve">in </w:t>
      </w:r>
      <w:r w:rsidR="00BC2E3C">
        <w:rPr>
          <w:lang w:val="en-NZ"/>
        </w:rPr>
        <w:t>F</w:t>
      </w:r>
      <w:r w:rsidR="00AE4992">
        <w:rPr>
          <w:lang w:val="en-NZ"/>
        </w:rPr>
        <w:t>igure</w:t>
      </w:r>
      <w:r w:rsidR="00482669">
        <w:rPr>
          <w:lang w:val="en-NZ"/>
        </w:rPr>
        <w:t>s 4 and</w:t>
      </w:r>
      <w:r w:rsidR="00AE4992">
        <w:rPr>
          <w:lang w:val="en-NZ"/>
        </w:rPr>
        <w:t xml:space="preserve"> 5</w:t>
      </w:r>
      <w:r w:rsidR="00092266">
        <w:rPr>
          <w:lang w:val="en-NZ"/>
        </w:rPr>
        <w:t xml:space="preserve">. </w:t>
      </w:r>
      <w:r w:rsidR="008601BA">
        <w:rPr>
          <w:lang w:val="en-NZ"/>
        </w:rPr>
        <w:t xml:space="preserve">This </w:t>
      </w:r>
      <w:r w:rsidR="001C687F">
        <w:rPr>
          <w:lang w:val="en-NZ"/>
        </w:rPr>
        <w:t>matches the value</w:t>
      </w:r>
      <w:r w:rsidR="00B23420">
        <w:rPr>
          <w:lang w:val="en-NZ"/>
        </w:rPr>
        <w:t>s</w:t>
      </w:r>
      <w:r w:rsidR="001C687F">
        <w:rPr>
          <w:lang w:val="en-NZ"/>
        </w:rPr>
        <w:t xml:space="preserve"> used in </w:t>
      </w:r>
      <w:r w:rsidR="008601BA">
        <w:rPr>
          <w:lang w:val="en-NZ"/>
        </w:rPr>
        <w:t xml:space="preserve">the analytical </w:t>
      </w:r>
      <w:r w:rsidR="000D22F0">
        <w:rPr>
          <w:lang w:val="en-NZ"/>
        </w:rPr>
        <w:t>calculations</w:t>
      </w:r>
      <w:r w:rsidR="008601BA">
        <w:rPr>
          <w:lang w:val="en-NZ"/>
        </w:rPr>
        <w:t>.</w:t>
      </w:r>
      <w:r w:rsidR="00092266">
        <w:rPr>
          <w:lang w:val="en-NZ"/>
        </w:rPr>
        <w:t xml:space="preserve"> The small wobble that remains in</w:t>
      </w:r>
      <w:r w:rsidR="00FB3FDA">
        <w:rPr>
          <w:lang w:val="en-NZ"/>
        </w:rPr>
        <w:t xml:space="preserve"> the </w:t>
      </w:r>
      <w:r w:rsidR="00092266">
        <w:rPr>
          <w:lang w:val="en-NZ"/>
        </w:rPr>
        <w:t>output voltage</w:t>
      </w:r>
      <w:r w:rsidR="004D5CC6">
        <w:rPr>
          <w:lang w:val="en-NZ"/>
        </w:rPr>
        <w:t xml:space="preserve"> </w:t>
      </w:r>
      <w:r w:rsidR="001B0E5D">
        <w:rPr>
          <w:lang w:val="en-NZ"/>
        </w:rPr>
        <w:t xml:space="preserve">is due to </w:t>
      </w:r>
      <w:r w:rsidR="004D5CC6">
        <w:rPr>
          <w:lang w:val="en-NZ"/>
        </w:rPr>
        <w:t xml:space="preserve">imperfections of the output capacitor </w:t>
      </w:r>
      <w:r w:rsidR="00F56F47">
        <w:rPr>
          <w:lang w:val="en-NZ"/>
        </w:rPr>
        <w:t xml:space="preserve">not being able to average out all the </w:t>
      </w:r>
      <w:r w:rsidR="001B0E5D">
        <w:rPr>
          <w:lang w:val="en-NZ"/>
        </w:rPr>
        <w:t xml:space="preserve">current </w:t>
      </w:r>
      <w:r w:rsidR="00092266">
        <w:rPr>
          <w:lang w:val="en-NZ"/>
        </w:rPr>
        <w:t>ripple from the</w:t>
      </w:r>
      <w:r w:rsidR="001B0E5D">
        <w:rPr>
          <w:lang w:val="en-NZ"/>
        </w:rPr>
        <w:t xml:space="preserve"> inductor.</w:t>
      </w:r>
    </w:p>
    <w:sectPr w:rsidR="002B59EF" w:rsidRPr="00921D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11B"/>
    <w:multiLevelType w:val="hybridMultilevel"/>
    <w:tmpl w:val="3A02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72CF"/>
    <w:multiLevelType w:val="hybridMultilevel"/>
    <w:tmpl w:val="AE6E3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C33F8"/>
    <w:multiLevelType w:val="multilevel"/>
    <w:tmpl w:val="BF1E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F6C71"/>
    <w:multiLevelType w:val="hybridMultilevel"/>
    <w:tmpl w:val="EA984E12"/>
    <w:lvl w:ilvl="0" w:tplc="8898C37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3259"/>
    <w:multiLevelType w:val="hybridMultilevel"/>
    <w:tmpl w:val="BEFC6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76471">
    <w:abstractNumId w:val="3"/>
  </w:num>
  <w:num w:numId="2" w16cid:durableId="1136332400">
    <w:abstractNumId w:val="0"/>
  </w:num>
  <w:num w:numId="3" w16cid:durableId="14432651">
    <w:abstractNumId w:val="1"/>
  </w:num>
  <w:num w:numId="4" w16cid:durableId="2059888625">
    <w:abstractNumId w:val="4"/>
  </w:num>
  <w:num w:numId="5" w16cid:durableId="652946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ADA4B2"/>
    <w:rsid w:val="00007A75"/>
    <w:rsid w:val="00007FA3"/>
    <w:rsid w:val="00012E5A"/>
    <w:rsid w:val="00015839"/>
    <w:rsid w:val="00015B39"/>
    <w:rsid w:val="000253D7"/>
    <w:rsid w:val="000324A7"/>
    <w:rsid w:val="00033632"/>
    <w:rsid w:val="000342DE"/>
    <w:rsid w:val="00050603"/>
    <w:rsid w:val="00070502"/>
    <w:rsid w:val="00076D5E"/>
    <w:rsid w:val="00081841"/>
    <w:rsid w:val="00081A5B"/>
    <w:rsid w:val="00085BEE"/>
    <w:rsid w:val="00091A38"/>
    <w:rsid w:val="00092266"/>
    <w:rsid w:val="00093020"/>
    <w:rsid w:val="000A0A7C"/>
    <w:rsid w:val="000A0D8D"/>
    <w:rsid w:val="000A172D"/>
    <w:rsid w:val="000A2748"/>
    <w:rsid w:val="000A3F60"/>
    <w:rsid w:val="000A5E0D"/>
    <w:rsid w:val="000A6703"/>
    <w:rsid w:val="000A736D"/>
    <w:rsid w:val="000B12EF"/>
    <w:rsid w:val="000B2C88"/>
    <w:rsid w:val="000B30D9"/>
    <w:rsid w:val="000B3EFA"/>
    <w:rsid w:val="000B5389"/>
    <w:rsid w:val="000B5E31"/>
    <w:rsid w:val="000B5EA9"/>
    <w:rsid w:val="000B6992"/>
    <w:rsid w:val="000C2356"/>
    <w:rsid w:val="000C59CF"/>
    <w:rsid w:val="000D22F0"/>
    <w:rsid w:val="000E1475"/>
    <w:rsid w:val="000E2176"/>
    <w:rsid w:val="000E2308"/>
    <w:rsid w:val="000E2FB5"/>
    <w:rsid w:val="000E4454"/>
    <w:rsid w:val="000F16E4"/>
    <w:rsid w:val="000F2BFF"/>
    <w:rsid w:val="000F7EF6"/>
    <w:rsid w:val="00100127"/>
    <w:rsid w:val="001006D1"/>
    <w:rsid w:val="00100E8F"/>
    <w:rsid w:val="00102141"/>
    <w:rsid w:val="001029CF"/>
    <w:rsid w:val="0011195C"/>
    <w:rsid w:val="00111DB3"/>
    <w:rsid w:val="00112DDB"/>
    <w:rsid w:val="0011390C"/>
    <w:rsid w:val="00122104"/>
    <w:rsid w:val="00123228"/>
    <w:rsid w:val="00124575"/>
    <w:rsid w:val="0013360B"/>
    <w:rsid w:val="001372A8"/>
    <w:rsid w:val="00137AB1"/>
    <w:rsid w:val="0015228C"/>
    <w:rsid w:val="00157964"/>
    <w:rsid w:val="001653DC"/>
    <w:rsid w:val="00173269"/>
    <w:rsid w:val="001735D9"/>
    <w:rsid w:val="001745AB"/>
    <w:rsid w:val="00185E79"/>
    <w:rsid w:val="00191BE0"/>
    <w:rsid w:val="00196C0D"/>
    <w:rsid w:val="001A1F2C"/>
    <w:rsid w:val="001A6C70"/>
    <w:rsid w:val="001A7150"/>
    <w:rsid w:val="001A7864"/>
    <w:rsid w:val="001B0E5D"/>
    <w:rsid w:val="001B2D75"/>
    <w:rsid w:val="001B4DAE"/>
    <w:rsid w:val="001C33C0"/>
    <w:rsid w:val="001C4DF6"/>
    <w:rsid w:val="001C687F"/>
    <w:rsid w:val="001D0990"/>
    <w:rsid w:val="001D400F"/>
    <w:rsid w:val="001D76B3"/>
    <w:rsid w:val="001E268F"/>
    <w:rsid w:val="001E4EC6"/>
    <w:rsid w:val="001F0C1C"/>
    <w:rsid w:val="001F4BF5"/>
    <w:rsid w:val="0020016E"/>
    <w:rsid w:val="002057B4"/>
    <w:rsid w:val="00205803"/>
    <w:rsid w:val="0020649E"/>
    <w:rsid w:val="00221575"/>
    <w:rsid w:val="00223D0D"/>
    <w:rsid w:val="00225C26"/>
    <w:rsid w:val="002273C5"/>
    <w:rsid w:val="00233424"/>
    <w:rsid w:val="00233A98"/>
    <w:rsid w:val="00235A58"/>
    <w:rsid w:val="0025177D"/>
    <w:rsid w:val="0026472C"/>
    <w:rsid w:val="00267C40"/>
    <w:rsid w:val="00270160"/>
    <w:rsid w:val="00271417"/>
    <w:rsid w:val="00276D5A"/>
    <w:rsid w:val="00277857"/>
    <w:rsid w:val="0028415C"/>
    <w:rsid w:val="00287A17"/>
    <w:rsid w:val="002956FF"/>
    <w:rsid w:val="0029744F"/>
    <w:rsid w:val="002A24C8"/>
    <w:rsid w:val="002B0538"/>
    <w:rsid w:val="002B3077"/>
    <w:rsid w:val="002B31AC"/>
    <w:rsid w:val="002B475C"/>
    <w:rsid w:val="002B47E0"/>
    <w:rsid w:val="002B5310"/>
    <w:rsid w:val="002B59EF"/>
    <w:rsid w:val="002C0013"/>
    <w:rsid w:val="002C0604"/>
    <w:rsid w:val="002C132A"/>
    <w:rsid w:val="002C2BF8"/>
    <w:rsid w:val="002C5CBC"/>
    <w:rsid w:val="002C623E"/>
    <w:rsid w:val="002C7007"/>
    <w:rsid w:val="002D6BCD"/>
    <w:rsid w:val="002D73F8"/>
    <w:rsid w:val="002E000D"/>
    <w:rsid w:val="002E52A8"/>
    <w:rsid w:val="002F737B"/>
    <w:rsid w:val="00301B06"/>
    <w:rsid w:val="00305535"/>
    <w:rsid w:val="00305926"/>
    <w:rsid w:val="00310F8C"/>
    <w:rsid w:val="00312B51"/>
    <w:rsid w:val="0031391E"/>
    <w:rsid w:val="00314F73"/>
    <w:rsid w:val="00315524"/>
    <w:rsid w:val="00315F84"/>
    <w:rsid w:val="00324CA9"/>
    <w:rsid w:val="003254AD"/>
    <w:rsid w:val="00326646"/>
    <w:rsid w:val="003269C1"/>
    <w:rsid w:val="0032738F"/>
    <w:rsid w:val="00333913"/>
    <w:rsid w:val="003402AB"/>
    <w:rsid w:val="00342199"/>
    <w:rsid w:val="00355947"/>
    <w:rsid w:val="0035604E"/>
    <w:rsid w:val="0035790D"/>
    <w:rsid w:val="0036397D"/>
    <w:rsid w:val="00367EEC"/>
    <w:rsid w:val="00376A4C"/>
    <w:rsid w:val="00376B66"/>
    <w:rsid w:val="00381661"/>
    <w:rsid w:val="003902CD"/>
    <w:rsid w:val="00393653"/>
    <w:rsid w:val="003B5E28"/>
    <w:rsid w:val="003C17B2"/>
    <w:rsid w:val="003C5DDB"/>
    <w:rsid w:val="003C787F"/>
    <w:rsid w:val="003D0E20"/>
    <w:rsid w:val="003D5CBC"/>
    <w:rsid w:val="003D6AB8"/>
    <w:rsid w:val="003D6CE7"/>
    <w:rsid w:val="003F1CF4"/>
    <w:rsid w:val="003F5048"/>
    <w:rsid w:val="003F5A94"/>
    <w:rsid w:val="003F60AE"/>
    <w:rsid w:val="003F6ADC"/>
    <w:rsid w:val="00405DDA"/>
    <w:rsid w:val="004132DD"/>
    <w:rsid w:val="00417A7D"/>
    <w:rsid w:val="00421809"/>
    <w:rsid w:val="00421DAF"/>
    <w:rsid w:val="0043121B"/>
    <w:rsid w:val="00434474"/>
    <w:rsid w:val="00441785"/>
    <w:rsid w:val="00442271"/>
    <w:rsid w:val="0044544B"/>
    <w:rsid w:val="0045272F"/>
    <w:rsid w:val="00453423"/>
    <w:rsid w:val="00461B24"/>
    <w:rsid w:val="00461DF6"/>
    <w:rsid w:val="004659F9"/>
    <w:rsid w:val="00465D36"/>
    <w:rsid w:val="00466B2B"/>
    <w:rsid w:val="00470894"/>
    <w:rsid w:val="00472B08"/>
    <w:rsid w:val="00476570"/>
    <w:rsid w:val="00476A2E"/>
    <w:rsid w:val="00482669"/>
    <w:rsid w:val="00483546"/>
    <w:rsid w:val="0049066A"/>
    <w:rsid w:val="00497996"/>
    <w:rsid w:val="004A021D"/>
    <w:rsid w:val="004A3236"/>
    <w:rsid w:val="004A695B"/>
    <w:rsid w:val="004B090A"/>
    <w:rsid w:val="004B6DD1"/>
    <w:rsid w:val="004D24D9"/>
    <w:rsid w:val="004D3CA4"/>
    <w:rsid w:val="004D563B"/>
    <w:rsid w:val="004D5CC6"/>
    <w:rsid w:val="004D5EB7"/>
    <w:rsid w:val="004E0136"/>
    <w:rsid w:val="004E2C10"/>
    <w:rsid w:val="004F7FA3"/>
    <w:rsid w:val="005002A6"/>
    <w:rsid w:val="005224A6"/>
    <w:rsid w:val="0052315C"/>
    <w:rsid w:val="00531168"/>
    <w:rsid w:val="0053194E"/>
    <w:rsid w:val="00544E2E"/>
    <w:rsid w:val="00550A29"/>
    <w:rsid w:val="005518C4"/>
    <w:rsid w:val="005567B4"/>
    <w:rsid w:val="00577C5D"/>
    <w:rsid w:val="0058020D"/>
    <w:rsid w:val="00585D71"/>
    <w:rsid w:val="005921E7"/>
    <w:rsid w:val="00592566"/>
    <w:rsid w:val="00592EB7"/>
    <w:rsid w:val="00595899"/>
    <w:rsid w:val="005A626B"/>
    <w:rsid w:val="005B1FF8"/>
    <w:rsid w:val="005C5CC7"/>
    <w:rsid w:val="005C6A91"/>
    <w:rsid w:val="005D0DF6"/>
    <w:rsid w:val="005E116F"/>
    <w:rsid w:val="005E1482"/>
    <w:rsid w:val="005E28AB"/>
    <w:rsid w:val="005E31D2"/>
    <w:rsid w:val="005E56FE"/>
    <w:rsid w:val="005E7845"/>
    <w:rsid w:val="005F1D71"/>
    <w:rsid w:val="005F2B2D"/>
    <w:rsid w:val="005F2C64"/>
    <w:rsid w:val="005F61C6"/>
    <w:rsid w:val="005F77DB"/>
    <w:rsid w:val="006063F2"/>
    <w:rsid w:val="00611D93"/>
    <w:rsid w:val="00612CE2"/>
    <w:rsid w:val="006223A8"/>
    <w:rsid w:val="00623E1B"/>
    <w:rsid w:val="00626762"/>
    <w:rsid w:val="006304F0"/>
    <w:rsid w:val="00630D35"/>
    <w:rsid w:val="00637D1F"/>
    <w:rsid w:val="0066617A"/>
    <w:rsid w:val="00666820"/>
    <w:rsid w:val="00667826"/>
    <w:rsid w:val="00677735"/>
    <w:rsid w:val="00677EC9"/>
    <w:rsid w:val="00682E70"/>
    <w:rsid w:val="00690619"/>
    <w:rsid w:val="0069366F"/>
    <w:rsid w:val="00693A77"/>
    <w:rsid w:val="0069534A"/>
    <w:rsid w:val="00697241"/>
    <w:rsid w:val="006A2969"/>
    <w:rsid w:val="006A3219"/>
    <w:rsid w:val="006B1B61"/>
    <w:rsid w:val="006B34D7"/>
    <w:rsid w:val="006B5BC9"/>
    <w:rsid w:val="006C11BD"/>
    <w:rsid w:val="006C287E"/>
    <w:rsid w:val="006C38DF"/>
    <w:rsid w:val="006D14F9"/>
    <w:rsid w:val="006D4401"/>
    <w:rsid w:val="006E089F"/>
    <w:rsid w:val="006E1A3D"/>
    <w:rsid w:val="006E1E12"/>
    <w:rsid w:val="006E495B"/>
    <w:rsid w:val="006F0C25"/>
    <w:rsid w:val="006F30FC"/>
    <w:rsid w:val="00700787"/>
    <w:rsid w:val="00704663"/>
    <w:rsid w:val="00713C1B"/>
    <w:rsid w:val="00715BD1"/>
    <w:rsid w:val="007203E7"/>
    <w:rsid w:val="0072389B"/>
    <w:rsid w:val="007252C4"/>
    <w:rsid w:val="00727ABD"/>
    <w:rsid w:val="00731013"/>
    <w:rsid w:val="00734C25"/>
    <w:rsid w:val="00735DCD"/>
    <w:rsid w:val="00736623"/>
    <w:rsid w:val="007451D5"/>
    <w:rsid w:val="00746695"/>
    <w:rsid w:val="0075040B"/>
    <w:rsid w:val="0075764F"/>
    <w:rsid w:val="00765554"/>
    <w:rsid w:val="00770F47"/>
    <w:rsid w:val="00774F26"/>
    <w:rsid w:val="00782BC2"/>
    <w:rsid w:val="00792938"/>
    <w:rsid w:val="007A10F5"/>
    <w:rsid w:val="007A37C5"/>
    <w:rsid w:val="007A3852"/>
    <w:rsid w:val="007A6048"/>
    <w:rsid w:val="007A63A3"/>
    <w:rsid w:val="007A6CD6"/>
    <w:rsid w:val="007B0C14"/>
    <w:rsid w:val="007B19AA"/>
    <w:rsid w:val="007C0D75"/>
    <w:rsid w:val="007D1098"/>
    <w:rsid w:val="007D2887"/>
    <w:rsid w:val="007D594A"/>
    <w:rsid w:val="007D77E8"/>
    <w:rsid w:val="007D789A"/>
    <w:rsid w:val="007E4673"/>
    <w:rsid w:val="007E794F"/>
    <w:rsid w:val="007F4EA5"/>
    <w:rsid w:val="008047F7"/>
    <w:rsid w:val="008072B8"/>
    <w:rsid w:val="00810BB2"/>
    <w:rsid w:val="008152EB"/>
    <w:rsid w:val="00831330"/>
    <w:rsid w:val="008601BA"/>
    <w:rsid w:val="00860C8E"/>
    <w:rsid w:val="0086134B"/>
    <w:rsid w:val="00864D5D"/>
    <w:rsid w:val="008656E5"/>
    <w:rsid w:val="00875E75"/>
    <w:rsid w:val="008810B1"/>
    <w:rsid w:val="00897932"/>
    <w:rsid w:val="008A35EA"/>
    <w:rsid w:val="008A386F"/>
    <w:rsid w:val="008A3989"/>
    <w:rsid w:val="008A5D21"/>
    <w:rsid w:val="008A647E"/>
    <w:rsid w:val="008B5D1A"/>
    <w:rsid w:val="008B7835"/>
    <w:rsid w:val="008E0F87"/>
    <w:rsid w:val="008E1F51"/>
    <w:rsid w:val="008F5C5B"/>
    <w:rsid w:val="008F61DB"/>
    <w:rsid w:val="00900467"/>
    <w:rsid w:val="009136DF"/>
    <w:rsid w:val="00920854"/>
    <w:rsid w:val="00921D91"/>
    <w:rsid w:val="00923E1D"/>
    <w:rsid w:val="00933331"/>
    <w:rsid w:val="009352BE"/>
    <w:rsid w:val="00935720"/>
    <w:rsid w:val="009428C7"/>
    <w:rsid w:val="00953E43"/>
    <w:rsid w:val="00956CB0"/>
    <w:rsid w:val="009618EA"/>
    <w:rsid w:val="00963686"/>
    <w:rsid w:val="00964B2C"/>
    <w:rsid w:val="009800C4"/>
    <w:rsid w:val="009826D8"/>
    <w:rsid w:val="0098318F"/>
    <w:rsid w:val="00990E27"/>
    <w:rsid w:val="009A0888"/>
    <w:rsid w:val="009A0A50"/>
    <w:rsid w:val="009A1277"/>
    <w:rsid w:val="009A49E4"/>
    <w:rsid w:val="009B0B6F"/>
    <w:rsid w:val="009B3601"/>
    <w:rsid w:val="009B68DC"/>
    <w:rsid w:val="009D52C3"/>
    <w:rsid w:val="009D53BC"/>
    <w:rsid w:val="009D6367"/>
    <w:rsid w:val="009E228F"/>
    <w:rsid w:val="009E297F"/>
    <w:rsid w:val="009E47FA"/>
    <w:rsid w:val="009F5698"/>
    <w:rsid w:val="009F5D2D"/>
    <w:rsid w:val="009F7293"/>
    <w:rsid w:val="009F7CE2"/>
    <w:rsid w:val="00A10585"/>
    <w:rsid w:val="00A10AE2"/>
    <w:rsid w:val="00A16DBF"/>
    <w:rsid w:val="00A20F9E"/>
    <w:rsid w:val="00A218A6"/>
    <w:rsid w:val="00A22097"/>
    <w:rsid w:val="00A24455"/>
    <w:rsid w:val="00A2648C"/>
    <w:rsid w:val="00A32A5F"/>
    <w:rsid w:val="00A3767C"/>
    <w:rsid w:val="00A44C3E"/>
    <w:rsid w:val="00A508A3"/>
    <w:rsid w:val="00A50C66"/>
    <w:rsid w:val="00A571BD"/>
    <w:rsid w:val="00A57B9E"/>
    <w:rsid w:val="00A600F7"/>
    <w:rsid w:val="00A60C59"/>
    <w:rsid w:val="00A63666"/>
    <w:rsid w:val="00A645AA"/>
    <w:rsid w:val="00A673AC"/>
    <w:rsid w:val="00A676DB"/>
    <w:rsid w:val="00A702AF"/>
    <w:rsid w:val="00A73B94"/>
    <w:rsid w:val="00A8668B"/>
    <w:rsid w:val="00A93CC3"/>
    <w:rsid w:val="00A94C72"/>
    <w:rsid w:val="00A96B55"/>
    <w:rsid w:val="00A96CD5"/>
    <w:rsid w:val="00AB2341"/>
    <w:rsid w:val="00AB5C92"/>
    <w:rsid w:val="00AC0A8C"/>
    <w:rsid w:val="00AC239C"/>
    <w:rsid w:val="00AC64CA"/>
    <w:rsid w:val="00AC71FB"/>
    <w:rsid w:val="00AD0284"/>
    <w:rsid w:val="00AD184A"/>
    <w:rsid w:val="00AD50EB"/>
    <w:rsid w:val="00AE43D0"/>
    <w:rsid w:val="00AE4992"/>
    <w:rsid w:val="00AE6593"/>
    <w:rsid w:val="00AF28F1"/>
    <w:rsid w:val="00AF4208"/>
    <w:rsid w:val="00AF5AE6"/>
    <w:rsid w:val="00AF5EF0"/>
    <w:rsid w:val="00AF7CCB"/>
    <w:rsid w:val="00B07FB6"/>
    <w:rsid w:val="00B103FB"/>
    <w:rsid w:val="00B20331"/>
    <w:rsid w:val="00B23420"/>
    <w:rsid w:val="00B24677"/>
    <w:rsid w:val="00B30F28"/>
    <w:rsid w:val="00B3131B"/>
    <w:rsid w:val="00B428BA"/>
    <w:rsid w:val="00B46064"/>
    <w:rsid w:val="00B4667B"/>
    <w:rsid w:val="00B479F8"/>
    <w:rsid w:val="00B523B9"/>
    <w:rsid w:val="00B537FC"/>
    <w:rsid w:val="00B65918"/>
    <w:rsid w:val="00B70FFA"/>
    <w:rsid w:val="00B74E32"/>
    <w:rsid w:val="00B75256"/>
    <w:rsid w:val="00B80AF0"/>
    <w:rsid w:val="00B83A35"/>
    <w:rsid w:val="00B905C8"/>
    <w:rsid w:val="00B92352"/>
    <w:rsid w:val="00B95727"/>
    <w:rsid w:val="00BA0782"/>
    <w:rsid w:val="00BA0B2C"/>
    <w:rsid w:val="00BA4A64"/>
    <w:rsid w:val="00BA4E86"/>
    <w:rsid w:val="00BA6C1A"/>
    <w:rsid w:val="00BB0A9A"/>
    <w:rsid w:val="00BB1C5B"/>
    <w:rsid w:val="00BB4E3E"/>
    <w:rsid w:val="00BB5E33"/>
    <w:rsid w:val="00BC2273"/>
    <w:rsid w:val="00BC2E3C"/>
    <w:rsid w:val="00BC4648"/>
    <w:rsid w:val="00BC6CC6"/>
    <w:rsid w:val="00BD0F1E"/>
    <w:rsid w:val="00BD38CA"/>
    <w:rsid w:val="00BD3F17"/>
    <w:rsid w:val="00BE1683"/>
    <w:rsid w:val="00BE1E5B"/>
    <w:rsid w:val="00BE70B1"/>
    <w:rsid w:val="00BF2B58"/>
    <w:rsid w:val="00BF3846"/>
    <w:rsid w:val="00C06537"/>
    <w:rsid w:val="00C10F09"/>
    <w:rsid w:val="00C11217"/>
    <w:rsid w:val="00C1163C"/>
    <w:rsid w:val="00C137DF"/>
    <w:rsid w:val="00C15259"/>
    <w:rsid w:val="00C17C69"/>
    <w:rsid w:val="00C22676"/>
    <w:rsid w:val="00C27278"/>
    <w:rsid w:val="00C278C0"/>
    <w:rsid w:val="00C300F4"/>
    <w:rsid w:val="00C32543"/>
    <w:rsid w:val="00C43864"/>
    <w:rsid w:val="00C439DE"/>
    <w:rsid w:val="00C44496"/>
    <w:rsid w:val="00C452AC"/>
    <w:rsid w:val="00C56DB1"/>
    <w:rsid w:val="00C64DA0"/>
    <w:rsid w:val="00C72177"/>
    <w:rsid w:val="00C7749C"/>
    <w:rsid w:val="00C83502"/>
    <w:rsid w:val="00C90507"/>
    <w:rsid w:val="00C94B5D"/>
    <w:rsid w:val="00C94BB0"/>
    <w:rsid w:val="00C94EBA"/>
    <w:rsid w:val="00CA1785"/>
    <w:rsid w:val="00CA36AD"/>
    <w:rsid w:val="00CB1351"/>
    <w:rsid w:val="00CB2B58"/>
    <w:rsid w:val="00CB785D"/>
    <w:rsid w:val="00CB7A21"/>
    <w:rsid w:val="00CC062D"/>
    <w:rsid w:val="00CD2A1B"/>
    <w:rsid w:val="00CD4F56"/>
    <w:rsid w:val="00CD659A"/>
    <w:rsid w:val="00CE249C"/>
    <w:rsid w:val="00CE34C2"/>
    <w:rsid w:val="00CE4B46"/>
    <w:rsid w:val="00CF2B4D"/>
    <w:rsid w:val="00CF6CBA"/>
    <w:rsid w:val="00D00438"/>
    <w:rsid w:val="00D007AD"/>
    <w:rsid w:val="00D02CC5"/>
    <w:rsid w:val="00D03A0F"/>
    <w:rsid w:val="00D07D05"/>
    <w:rsid w:val="00D12D16"/>
    <w:rsid w:val="00D23FD8"/>
    <w:rsid w:val="00D2464C"/>
    <w:rsid w:val="00D4469F"/>
    <w:rsid w:val="00D44AD5"/>
    <w:rsid w:val="00D546B1"/>
    <w:rsid w:val="00D600ED"/>
    <w:rsid w:val="00D93418"/>
    <w:rsid w:val="00D9721E"/>
    <w:rsid w:val="00DA0D09"/>
    <w:rsid w:val="00DA6773"/>
    <w:rsid w:val="00DB1284"/>
    <w:rsid w:val="00DB167E"/>
    <w:rsid w:val="00DB1F40"/>
    <w:rsid w:val="00DB61E2"/>
    <w:rsid w:val="00DC1269"/>
    <w:rsid w:val="00DC7F80"/>
    <w:rsid w:val="00DD146F"/>
    <w:rsid w:val="00DD1E16"/>
    <w:rsid w:val="00DE1A69"/>
    <w:rsid w:val="00DE4317"/>
    <w:rsid w:val="00DE5B48"/>
    <w:rsid w:val="00DE6A08"/>
    <w:rsid w:val="00DF005F"/>
    <w:rsid w:val="00DF34D1"/>
    <w:rsid w:val="00E0135B"/>
    <w:rsid w:val="00E11608"/>
    <w:rsid w:val="00E15AB9"/>
    <w:rsid w:val="00E23933"/>
    <w:rsid w:val="00E23CB1"/>
    <w:rsid w:val="00E25966"/>
    <w:rsid w:val="00E35A73"/>
    <w:rsid w:val="00E42CD2"/>
    <w:rsid w:val="00E4380E"/>
    <w:rsid w:val="00E507C2"/>
    <w:rsid w:val="00E57981"/>
    <w:rsid w:val="00E614E9"/>
    <w:rsid w:val="00E657F5"/>
    <w:rsid w:val="00E7193E"/>
    <w:rsid w:val="00E750BB"/>
    <w:rsid w:val="00E76555"/>
    <w:rsid w:val="00E837CA"/>
    <w:rsid w:val="00EA3001"/>
    <w:rsid w:val="00EA4807"/>
    <w:rsid w:val="00EA6940"/>
    <w:rsid w:val="00EB0A90"/>
    <w:rsid w:val="00EB133C"/>
    <w:rsid w:val="00EC2159"/>
    <w:rsid w:val="00EC447A"/>
    <w:rsid w:val="00EC44F2"/>
    <w:rsid w:val="00EC548D"/>
    <w:rsid w:val="00ED31E9"/>
    <w:rsid w:val="00ED6EB3"/>
    <w:rsid w:val="00EE2B4E"/>
    <w:rsid w:val="00EE42F4"/>
    <w:rsid w:val="00EE5E7C"/>
    <w:rsid w:val="00EE781E"/>
    <w:rsid w:val="00EF2649"/>
    <w:rsid w:val="00F03700"/>
    <w:rsid w:val="00F05EEF"/>
    <w:rsid w:val="00F1073E"/>
    <w:rsid w:val="00F31E88"/>
    <w:rsid w:val="00F34D10"/>
    <w:rsid w:val="00F40BC7"/>
    <w:rsid w:val="00F4377B"/>
    <w:rsid w:val="00F458B1"/>
    <w:rsid w:val="00F53342"/>
    <w:rsid w:val="00F54DC5"/>
    <w:rsid w:val="00F56F47"/>
    <w:rsid w:val="00F61BE1"/>
    <w:rsid w:val="00F61C26"/>
    <w:rsid w:val="00F64B63"/>
    <w:rsid w:val="00F71DE8"/>
    <w:rsid w:val="00F7711A"/>
    <w:rsid w:val="00F84FCE"/>
    <w:rsid w:val="00F86DBC"/>
    <w:rsid w:val="00F90C90"/>
    <w:rsid w:val="00F92D24"/>
    <w:rsid w:val="00F93E37"/>
    <w:rsid w:val="00FB2C87"/>
    <w:rsid w:val="00FB3FDA"/>
    <w:rsid w:val="00FB4684"/>
    <w:rsid w:val="00FB5DE6"/>
    <w:rsid w:val="00FB689E"/>
    <w:rsid w:val="00FC0D7F"/>
    <w:rsid w:val="00FC73CA"/>
    <w:rsid w:val="00FD3A1A"/>
    <w:rsid w:val="00FE366A"/>
    <w:rsid w:val="00FE60FA"/>
    <w:rsid w:val="00FE64A8"/>
    <w:rsid w:val="00FF0093"/>
    <w:rsid w:val="00FF08C8"/>
    <w:rsid w:val="00FF0E4F"/>
    <w:rsid w:val="00FF7AB2"/>
    <w:rsid w:val="013C8895"/>
    <w:rsid w:val="01DDD974"/>
    <w:rsid w:val="023EC91C"/>
    <w:rsid w:val="02A7123B"/>
    <w:rsid w:val="059DA166"/>
    <w:rsid w:val="05ADA4B2"/>
    <w:rsid w:val="063CC33E"/>
    <w:rsid w:val="067C4FDA"/>
    <w:rsid w:val="06E8740E"/>
    <w:rsid w:val="07F933FA"/>
    <w:rsid w:val="08095F6A"/>
    <w:rsid w:val="097A4E0A"/>
    <w:rsid w:val="0A0586D0"/>
    <w:rsid w:val="0C1738EA"/>
    <w:rsid w:val="0CB1ACCF"/>
    <w:rsid w:val="0CC3428D"/>
    <w:rsid w:val="0F60B6DD"/>
    <w:rsid w:val="10134117"/>
    <w:rsid w:val="10E7AFFD"/>
    <w:rsid w:val="11C30C46"/>
    <w:rsid w:val="12FF30BA"/>
    <w:rsid w:val="13F3B75B"/>
    <w:rsid w:val="155B81A4"/>
    <w:rsid w:val="18565E33"/>
    <w:rsid w:val="19EB8823"/>
    <w:rsid w:val="1A90CAC5"/>
    <w:rsid w:val="1DC1EEA0"/>
    <w:rsid w:val="1DFCFE9C"/>
    <w:rsid w:val="210A6F02"/>
    <w:rsid w:val="2357F472"/>
    <w:rsid w:val="247D56DB"/>
    <w:rsid w:val="270EE940"/>
    <w:rsid w:val="2739B3B8"/>
    <w:rsid w:val="2899ACAB"/>
    <w:rsid w:val="28E63116"/>
    <w:rsid w:val="2A0838F4"/>
    <w:rsid w:val="2E0CE3C7"/>
    <w:rsid w:val="2F45084E"/>
    <w:rsid w:val="31BEB040"/>
    <w:rsid w:val="3848C222"/>
    <w:rsid w:val="397F0521"/>
    <w:rsid w:val="3A6524F5"/>
    <w:rsid w:val="3AC444AE"/>
    <w:rsid w:val="3D54CEFD"/>
    <w:rsid w:val="3DD46CCE"/>
    <w:rsid w:val="405EFC74"/>
    <w:rsid w:val="4088D9BA"/>
    <w:rsid w:val="41D539CC"/>
    <w:rsid w:val="43579790"/>
    <w:rsid w:val="44369719"/>
    <w:rsid w:val="448670F0"/>
    <w:rsid w:val="494A9452"/>
    <w:rsid w:val="4B049CAE"/>
    <w:rsid w:val="4D66D41A"/>
    <w:rsid w:val="4E786568"/>
    <w:rsid w:val="4EE2FB29"/>
    <w:rsid w:val="4FFF1563"/>
    <w:rsid w:val="570164F8"/>
    <w:rsid w:val="576C87CF"/>
    <w:rsid w:val="59891F6B"/>
    <w:rsid w:val="5D421E4A"/>
    <w:rsid w:val="5E5F4903"/>
    <w:rsid w:val="5E6CF913"/>
    <w:rsid w:val="5F5155BD"/>
    <w:rsid w:val="6265709C"/>
    <w:rsid w:val="644ADC8C"/>
    <w:rsid w:val="64A5E0F2"/>
    <w:rsid w:val="667C6849"/>
    <w:rsid w:val="6688F373"/>
    <w:rsid w:val="677D7D4A"/>
    <w:rsid w:val="6B8BFD60"/>
    <w:rsid w:val="6CA6D030"/>
    <w:rsid w:val="6D4E8467"/>
    <w:rsid w:val="6E9630C2"/>
    <w:rsid w:val="7223E1B1"/>
    <w:rsid w:val="722583E5"/>
    <w:rsid w:val="738A40C0"/>
    <w:rsid w:val="754C6478"/>
    <w:rsid w:val="763674F1"/>
    <w:rsid w:val="7753E1B6"/>
    <w:rsid w:val="77BA840A"/>
    <w:rsid w:val="79E403DE"/>
    <w:rsid w:val="7A01C240"/>
    <w:rsid w:val="7FD1E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223E"/>
  <w15:chartTrackingRefBased/>
  <w15:docId w15:val="{5E79F571-B6D4-44BE-AA93-200CD24D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683"/>
  </w:style>
  <w:style w:type="paragraph" w:styleId="Heading1">
    <w:name w:val="heading 1"/>
    <w:basedOn w:val="Normal"/>
    <w:next w:val="Normal"/>
    <w:link w:val="Heading1Char"/>
    <w:uiPriority w:val="9"/>
    <w:qFormat/>
    <w:rsid w:val="00B75256"/>
    <w:pPr>
      <w:keepNext/>
      <w:keepLines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21730" w:themeColor="accent1" w:themeShade="80"/>
      <w:sz w:val="36"/>
      <w:szCs w:val="36"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68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6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6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6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6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6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6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6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256"/>
    <w:rPr>
      <w:rFonts w:asciiTheme="majorHAnsi" w:eastAsiaTheme="majorEastAsia" w:hAnsiTheme="majorHAnsi" w:cstheme="majorBidi"/>
      <w:b/>
      <w:bCs/>
      <w:color w:val="021730" w:themeColor="accent1" w:themeShade="80"/>
      <w:sz w:val="36"/>
      <w:szCs w:val="36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BE1683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1683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683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683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683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683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683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683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1683"/>
    <w:pPr>
      <w:spacing w:line="240" w:lineRule="auto"/>
    </w:pPr>
    <w:rPr>
      <w:b/>
      <w:bCs/>
      <w:smallCaps/>
      <w:color w:val="14619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E168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1683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6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683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E1683"/>
    <w:rPr>
      <w:b/>
      <w:bCs/>
    </w:rPr>
  </w:style>
  <w:style w:type="character" w:styleId="Emphasis">
    <w:name w:val="Emphasis"/>
    <w:basedOn w:val="DefaultParagraphFont"/>
    <w:uiPriority w:val="20"/>
    <w:qFormat/>
    <w:rsid w:val="00BE1683"/>
    <w:rPr>
      <w:i/>
      <w:iCs/>
    </w:rPr>
  </w:style>
  <w:style w:type="paragraph" w:styleId="NoSpacing">
    <w:name w:val="No Spacing"/>
    <w:uiPriority w:val="1"/>
    <w:qFormat/>
    <w:rsid w:val="00BE16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1683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E1683"/>
    <w:rPr>
      <w:color w:val="14619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68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683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E168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E168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E168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E1683"/>
    <w:rPr>
      <w:b/>
      <w:bCs/>
      <w:smallCaps/>
      <w:color w:val="14619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E168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1683"/>
    <w:pPr>
      <w:outlineLvl w:val="9"/>
    </w:pPr>
  </w:style>
  <w:style w:type="table" w:styleId="TableGrid">
    <w:name w:val="Table Grid"/>
    <w:basedOn w:val="TableNormal"/>
    <w:uiPriority w:val="39"/>
    <w:rsid w:val="0073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5DE6"/>
    <w:rPr>
      <w:color w:val="666666"/>
    </w:rPr>
  </w:style>
  <w:style w:type="paragraph" w:styleId="ListParagraph">
    <w:name w:val="List Paragraph"/>
    <w:basedOn w:val="Normal"/>
    <w:uiPriority w:val="34"/>
    <w:qFormat/>
    <w:rsid w:val="00AF5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598</Words>
  <Characters>3410</Characters>
  <Application>Microsoft Office Word</Application>
  <DocSecurity>4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Adams</dc:creator>
  <cp:keywords/>
  <dc:description/>
  <cp:lastModifiedBy>Rylie O'Brien</cp:lastModifiedBy>
  <cp:revision>247</cp:revision>
  <dcterms:created xsi:type="dcterms:W3CDTF">2025-08-21T11:49:00Z</dcterms:created>
  <dcterms:modified xsi:type="dcterms:W3CDTF">2025-08-21T23:55:00Z</dcterms:modified>
</cp:coreProperties>
</file>